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0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0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2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0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0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0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0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8240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UyXzZAAAA&#10;CgEAAA8AAAAAAAAAAQAgAAAAIgAAAGRycy9kb3ducmV2LnhtbFBLAQIUABQAAAAIAIdO4kDoHZA1&#10;4wEAANoDAAAOAAAAAAAAAAEAIAAAACgBAABkcnMvZTJvRG9jLnhtbFBLBQYAAAAABgAGAFkBAAB9&#10;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</w:t>
      </w:r>
      <w:r>
        <w:rPr>
          <w:rFonts w:hint="eastAsia" w:ascii="仿宋_GB2312" w:eastAsia="仿宋_GB2312"/>
          <w:sz w:val="32"/>
          <w:lang w:eastAsia="zh-CN"/>
        </w:rPr>
        <w:t>，上年度未完成结项提交的停报一年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/>
          <w:sz w:val="32"/>
        </w:rPr>
        <w:t>V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pacing w:val="0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通讯地址：</w:t>
      </w:r>
      <w:r>
        <w:rPr>
          <w:rFonts w:hint="eastAsia" w:ascii="仿宋_GB2312" w:hAnsi="宋体" w:eastAsia="仿宋_GB2312" w:cs="Arial"/>
          <w:spacing w:val="0"/>
          <w:kern w:val="0"/>
          <w:sz w:val="32"/>
          <w:szCs w:val="32"/>
        </w:rPr>
        <w:t>郑州市嵩山南路</w:t>
      </w:r>
      <w:r>
        <w:rPr>
          <w:rFonts w:hint="eastAsia" w:ascii="仿宋_GB2312" w:hAnsi="宋体" w:eastAsia="仿宋_GB2312" w:cs="Arial"/>
          <w:spacing w:val="0"/>
          <w:kern w:val="0"/>
          <w:sz w:val="32"/>
          <w:szCs w:val="32"/>
          <w:lang w:eastAsia="zh-CN"/>
        </w:rPr>
        <w:t>南段</w:t>
      </w:r>
      <w:r>
        <w:rPr>
          <w:rFonts w:hint="eastAsia" w:ascii="仿宋_GB2312" w:hAnsi="宋体" w:eastAsia="仿宋_GB2312" w:cs="Arial"/>
          <w:spacing w:val="0"/>
          <w:kern w:val="0"/>
          <w:sz w:val="32"/>
          <w:szCs w:val="32"/>
        </w:rPr>
        <w:t>1号501室市社科联学会部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  <w:sectPr>
          <w:footerReference r:id="rId3" w:type="default"/>
          <w:pgSz w:w="11906" w:h="16838"/>
          <w:pgMar w:top="2098" w:right="1588" w:bottom="1985" w:left="1588" w:header="851" w:footer="1418" w:gutter="0"/>
          <w:pgNumType w:start="1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61344"/>
    <w:rsid w:val="272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2022-02-23T08:58:00Z</dcterms:created>
  <dc:creator>acer</dc:creator>
  <cp:lastModifiedBy>acer</cp:lastModifiedBy>
  <dcterms:modified xsi:type="dcterms:W3CDTF">2022-02-23T09:00:28Z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