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hd w:val="clear" w:color="auto" w:fill="FFFFFF"/>
        <w:spacing w:before="0" w:beforeAutospacing="0" w:after="0" w:afterAutospacing="0" w:line="315" w:lineRule="atLeast"/>
        <w:rPr>
          <w:rStyle w:val="10"/>
          <w:rFonts w:ascii="黑体" w:hAnsi="黑体" w:eastAsia="微软雅黑"/>
          <w:color w:val="666666"/>
          <w:sz w:val="28"/>
          <w:szCs w:val="28"/>
        </w:rPr>
      </w:pPr>
      <w:r>
        <w:rPr>
          <w:rStyle w:val="10"/>
          <w:rFonts w:hint="eastAsia" w:ascii="黑体" w:hAnsi="黑体" w:eastAsia="微软雅黑"/>
          <w:color w:val="666666"/>
          <w:sz w:val="28"/>
          <w:szCs w:val="28"/>
          <w:highlight w:val="yellow"/>
        </w:rPr>
        <w:t>此通知适用：</w:t>
      </w:r>
      <w:r>
        <w:rPr>
          <w:rStyle w:val="10"/>
          <w:rFonts w:hint="eastAsia" w:ascii="黑体" w:hAnsi="黑体" w:eastAsia="微软雅黑"/>
          <w:color w:val="666666"/>
          <w:sz w:val="28"/>
          <w:szCs w:val="28"/>
        </w:rPr>
        <w:t>报告评审＋</w:t>
      </w:r>
      <w:r>
        <w:rPr>
          <w:rStyle w:val="10"/>
          <w:rFonts w:hint="eastAsia" w:ascii="黑体" w:hAnsi="黑体" w:eastAsia="微软雅黑"/>
          <w:color w:val="FF0000"/>
          <w:sz w:val="28"/>
          <w:szCs w:val="28"/>
        </w:rPr>
        <w:t>线上视频展示</w:t>
      </w:r>
      <w:r>
        <w:rPr>
          <w:rStyle w:val="10"/>
          <w:rFonts w:hint="eastAsia" w:ascii="黑体" w:hAnsi="黑体" w:eastAsia="微软雅黑"/>
          <w:color w:val="666666"/>
          <w:sz w:val="28"/>
          <w:szCs w:val="28"/>
        </w:rPr>
        <w:t>答辨</w:t>
      </w:r>
    </w:p>
    <w:p>
      <w:pPr>
        <w:spacing w:before="240" w:line="360" w:lineRule="auto"/>
        <w:jc w:val="center"/>
        <w:rPr>
          <w:rFonts w:ascii="宋体" w:hAnsi="宋体"/>
          <w:b/>
          <w:sz w:val="36"/>
          <w:szCs w:val="36"/>
        </w:rPr>
      </w:pPr>
      <w:r>
        <w:rPr>
          <w:rFonts w:hint="eastAsia" w:ascii="宋体" w:hAnsi="宋体"/>
          <w:b/>
          <w:sz w:val="36"/>
          <w:szCs w:val="36"/>
        </w:rPr>
        <w:t>关于组织实施“正大杯”第十二届全国大学生</w:t>
      </w:r>
    </w:p>
    <w:p>
      <w:pPr>
        <w:spacing w:line="360" w:lineRule="auto"/>
        <w:jc w:val="center"/>
        <w:rPr>
          <w:rFonts w:ascii="宋体" w:hAnsi="宋体"/>
          <w:b/>
          <w:sz w:val="36"/>
          <w:szCs w:val="36"/>
        </w:rPr>
      </w:pPr>
      <w:r>
        <w:rPr>
          <w:rFonts w:hint="eastAsia" w:ascii="宋体" w:hAnsi="宋体"/>
          <w:b/>
          <w:sz w:val="36"/>
          <w:szCs w:val="36"/>
        </w:rPr>
        <w:t>市场调查与分析大赛**省本科组选拔赛的通知</w:t>
      </w:r>
    </w:p>
    <w:p>
      <w:pPr>
        <w:pStyle w:val="6"/>
        <w:shd w:val="clear" w:color="auto" w:fill="FFFFFF"/>
        <w:spacing w:before="0" w:beforeAutospacing="0" w:after="0" w:afterAutospacing="0"/>
        <w:rPr>
          <w:rFonts w:ascii="黑体" w:hAnsi="黑体" w:eastAsia="微软雅黑"/>
          <w:color w:val="000000"/>
          <w:sz w:val="21"/>
          <w:szCs w:val="21"/>
        </w:rPr>
      </w:pPr>
    </w:p>
    <w:p>
      <w:pPr>
        <w:spacing w:before="240" w:line="460" w:lineRule="exact"/>
        <w:rPr>
          <w:rFonts w:ascii="仿宋_GB2312" w:eastAsia="仿宋_GB2312"/>
          <w:sz w:val="32"/>
          <w:szCs w:val="32"/>
        </w:rPr>
      </w:pPr>
      <w:r>
        <w:rPr>
          <w:rFonts w:hint="eastAsia" w:ascii="仿宋_GB2312" w:eastAsia="仿宋_GB2312"/>
          <w:sz w:val="32"/>
          <w:szCs w:val="32"/>
        </w:rPr>
        <w:t>各有关参赛院校：</w:t>
      </w:r>
    </w:p>
    <w:p>
      <w:pPr>
        <w:spacing w:before="240" w:line="480" w:lineRule="exact"/>
        <w:ind w:firstLine="640" w:firstLineChars="200"/>
        <w:rPr>
          <w:rFonts w:ascii="仿宋" w:hAnsi="仿宋" w:eastAsia="仿宋" w:cs="仿宋"/>
          <w:sz w:val="32"/>
          <w:szCs w:val="32"/>
        </w:rPr>
      </w:pPr>
      <w:r>
        <w:rPr>
          <w:rFonts w:hint="eastAsia" w:ascii="仿宋" w:hAnsi="仿宋" w:eastAsia="仿宋" w:cs="仿宋"/>
          <w:sz w:val="32"/>
          <w:szCs w:val="32"/>
        </w:rPr>
        <w:t>由中国商业统计学会主办的“正大杯第十二届全国大学生市场调查与分析大赛**省本科组选拔赛”由*****大学承办。根据大赛组委会《关于组织实施“正大杯”第十二届全国大学生市场调查与分析大赛实践赛的通知》</w:t>
      </w:r>
      <w:r>
        <w:rPr>
          <w:rFonts w:hint="eastAsia" w:ascii="仿宋" w:hAnsi="仿宋" w:eastAsia="仿宋"/>
          <w:sz w:val="32"/>
          <w:szCs w:val="32"/>
        </w:rPr>
        <w:t>（中商统[2021]22号）</w:t>
      </w:r>
      <w:r>
        <w:rPr>
          <w:rFonts w:hint="eastAsia" w:ascii="仿宋" w:hAnsi="仿宋" w:eastAsia="仿宋" w:cs="仿宋"/>
          <w:sz w:val="32"/>
          <w:szCs w:val="32"/>
        </w:rPr>
        <w:t>，综合本赛区疫情防控要求和赛区内参赛校意见，**省本科组选拔</w:t>
      </w:r>
      <w:r>
        <w:rPr>
          <w:rFonts w:hint="eastAsia" w:ascii="仿宋" w:hAnsi="仿宋" w:eastAsia="仿宋"/>
          <w:sz w:val="32"/>
          <w:szCs w:val="32"/>
        </w:rPr>
        <w:t>赛确定以</w:t>
      </w:r>
      <w:r>
        <w:rPr>
          <w:rFonts w:hint="eastAsia" w:ascii="仿宋" w:hAnsi="仿宋" w:eastAsia="仿宋"/>
          <w:b/>
          <w:bCs/>
          <w:color w:val="FF0000"/>
          <w:sz w:val="32"/>
          <w:szCs w:val="32"/>
        </w:rPr>
        <w:t>线上</w:t>
      </w:r>
      <w:r>
        <w:rPr>
          <w:rFonts w:hint="eastAsia" w:ascii="仿宋" w:hAnsi="仿宋" w:eastAsia="仿宋"/>
          <w:sz w:val="32"/>
          <w:szCs w:val="32"/>
        </w:rPr>
        <w:t>方式举办。</w:t>
      </w:r>
      <w:r>
        <w:rPr>
          <w:rFonts w:hint="eastAsia" w:ascii="仿宋" w:hAnsi="仿宋" w:eastAsia="仿宋" w:cs="仿宋"/>
          <w:sz w:val="32"/>
          <w:szCs w:val="32"/>
        </w:rPr>
        <w:t>现将**省选拔赛组织实施的有关事宜通知如下：</w:t>
      </w:r>
    </w:p>
    <w:p>
      <w:pPr>
        <w:spacing w:before="240" w:line="480" w:lineRule="exact"/>
        <w:ind w:firstLine="643" w:firstLineChars="200"/>
        <w:rPr>
          <w:rFonts w:ascii="仿宋" w:hAnsi="仿宋" w:eastAsia="仿宋" w:cs="仿宋"/>
          <w:sz w:val="32"/>
          <w:szCs w:val="32"/>
        </w:rPr>
      </w:pPr>
      <w:r>
        <w:rPr>
          <w:rFonts w:hint="eastAsia" w:ascii="仿宋" w:hAnsi="仿宋" w:eastAsia="仿宋" w:cs="仿宋"/>
          <w:b/>
          <w:sz w:val="32"/>
          <w:szCs w:val="32"/>
        </w:rPr>
        <w:t>一、赛事安排</w:t>
      </w:r>
      <w:r>
        <w:rPr>
          <w:rFonts w:hint="eastAsia" w:ascii="仿宋" w:hAnsi="仿宋" w:eastAsia="仿宋" w:cs="仿宋"/>
          <w:sz w:val="32"/>
          <w:szCs w:val="32"/>
        </w:rPr>
        <w:t>（</w:t>
      </w:r>
      <w:r>
        <w:rPr>
          <w:rFonts w:hint="eastAsia" w:ascii="仿宋" w:hAnsi="仿宋" w:eastAsia="仿宋" w:cs="仿宋"/>
          <w:sz w:val="32"/>
          <w:szCs w:val="32"/>
          <w:highlight w:val="yellow"/>
        </w:rPr>
        <w:t>各赛区可根据实际情况安排</w:t>
      </w:r>
      <w:r>
        <w:rPr>
          <w:rFonts w:hint="eastAsia" w:ascii="仿宋" w:hAnsi="仿宋" w:eastAsia="仿宋" w:cs="仿宋"/>
          <w:sz w:val="32"/>
          <w:szCs w:val="32"/>
        </w:rPr>
        <w:t>）</w:t>
      </w:r>
    </w:p>
    <w:p>
      <w:pPr>
        <w:spacing w:line="480" w:lineRule="exact"/>
        <w:ind w:firstLine="640" w:firstLineChars="200"/>
        <w:rPr>
          <w:rFonts w:ascii="仿宋" w:hAnsi="仿宋" w:eastAsia="仿宋" w:cs="仿宋"/>
          <w:sz w:val="32"/>
          <w:szCs w:val="32"/>
        </w:rPr>
      </w:pPr>
      <w:r>
        <w:rPr>
          <w:rFonts w:hint="eastAsia" w:ascii="仿宋" w:hAnsi="仿宋" w:eastAsia="仿宋" w:cs="仿宋"/>
          <w:sz w:val="32"/>
          <w:szCs w:val="32"/>
        </w:rPr>
        <w:t>省赛采取</w:t>
      </w:r>
      <w:r>
        <w:rPr>
          <w:rFonts w:hint="eastAsia" w:ascii="仿宋" w:hAnsi="仿宋" w:eastAsia="仿宋" w:cs="仿宋"/>
          <w:b/>
          <w:color w:val="FF0000"/>
          <w:sz w:val="32"/>
          <w:szCs w:val="32"/>
        </w:rPr>
        <w:t>报告评审+线上视频展示和实时答辩</w:t>
      </w:r>
      <w:r>
        <w:rPr>
          <w:rFonts w:hint="eastAsia" w:ascii="仿宋" w:hAnsi="仿宋" w:eastAsia="仿宋" w:cs="仿宋"/>
          <w:sz w:val="32"/>
          <w:szCs w:val="32"/>
        </w:rPr>
        <w:t>相结合的竞赛方式，具体安排如下：</w:t>
      </w:r>
    </w:p>
    <w:p>
      <w:pPr>
        <w:tabs>
          <w:tab w:val="left" w:pos="142"/>
          <w:tab w:val="left" w:pos="3150"/>
        </w:tabs>
        <w:spacing w:before="240" w:after="240" w:line="480" w:lineRule="exact"/>
        <w:ind w:firstLine="643" w:firstLineChars="200"/>
        <w:rPr>
          <w:rFonts w:ascii="仿宋" w:hAnsi="仿宋" w:eastAsia="仿宋" w:cs="仿宋"/>
          <w:sz w:val="32"/>
          <w:szCs w:val="32"/>
        </w:rPr>
      </w:pPr>
      <w:r>
        <w:rPr>
          <w:rFonts w:hint="eastAsia" w:ascii="仿宋" w:hAnsi="仿宋" w:eastAsia="仿宋" w:cs="仿宋"/>
          <w:b/>
          <w:sz w:val="32"/>
          <w:szCs w:val="32"/>
        </w:rPr>
        <w:t>报告评审：</w:t>
      </w:r>
      <w:r>
        <w:rPr>
          <w:rFonts w:hint="eastAsia" w:ascii="仿宋" w:hAnsi="仿宋" w:eastAsia="仿宋" w:cs="仿宋"/>
          <w:sz w:val="32"/>
          <w:szCs w:val="32"/>
        </w:rPr>
        <w:t>各校于4月 日前向省赛组委会提交团队竞赛资料，包括：1-3万字的调查分析报告（附件1：报告排版格式要求）、</w:t>
      </w:r>
      <w:r>
        <w:rPr>
          <w:rFonts w:hint="eastAsia" w:ascii="仿宋" w:hAnsi="仿宋" w:eastAsia="仿宋"/>
          <w:sz w:val="32"/>
          <w:szCs w:val="32"/>
        </w:rPr>
        <w:t>2000字以内的摘要、</w:t>
      </w:r>
      <w:r>
        <w:rPr>
          <w:rFonts w:hint="eastAsia" w:ascii="仿宋" w:hAnsi="仿宋" w:eastAsia="仿宋" w:cs="仿宋"/>
          <w:sz w:val="32"/>
          <w:szCs w:val="32"/>
        </w:rPr>
        <w:t>作品信息表（附件2）、参赛承诺书(附件3）。由省赛组委会组织专家按大赛组委会制定的评分标准（附件4）进行报告盲评，评出省赛</w:t>
      </w:r>
      <w:r>
        <w:rPr>
          <w:rFonts w:hint="eastAsia" w:ascii="仿宋" w:hAnsi="仿宋" w:eastAsia="仿宋" w:cs="仿宋"/>
          <w:sz w:val="32"/>
          <w:szCs w:val="32"/>
          <w:highlight w:val="yellow"/>
        </w:rPr>
        <w:t>三等奖</w:t>
      </w:r>
      <w:r>
        <w:rPr>
          <w:rFonts w:hint="eastAsia" w:ascii="仿宋" w:hAnsi="仿宋" w:eastAsia="仿宋" w:cs="仿宋"/>
          <w:sz w:val="32"/>
          <w:szCs w:val="32"/>
        </w:rPr>
        <w:t>，其他团队参加线上视频展示和实时答辩。评审结果于4月  日前公布。</w:t>
      </w:r>
    </w:p>
    <w:p>
      <w:pPr>
        <w:pStyle w:val="13"/>
        <w:tabs>
          <w:tab w:val="left" w:pos="142"/>
        </w:tabs>
        <w:spacing w:before="240" w:line="480" w:lineRule="exact"/>
        <w:ind w:firstLine="643"/>
        <w:rPr>
          <w:rFonts w:ascii="仿宋" w:hAnsi="仿宋" w:eastAsia="仿宋"/>
          <w:sz w:val="32"/>
          <w:szCs w:val="32"/>
        </w:rPr>
      </w:pPr>
      <w:r>
        <w:rPr>
          <w:rFonts w:hint="eastAsia" w:ascii="仿宋" w:hAnsi="仿宋" w:eastAsia="仿宋" w:cs="仿宋"/>
          <w:b/>
          <w:sz w:val="32"/>
          <w:szCs w:val="32"/>
        </w:rPr>
        <w:t>线上视频展示和实时答辩：</w:t>
      </w:r>
      <w:r>
        <w:rPr>
          <w:rFonts w:hint="eastAsia" w:ascii="仿宋" w:hAnsi="仿宋" w:eastAsia="仿宋" w:cs="仿宋"/>
          <w:sz w:val="32"/>
          <w:szCs w:val="32"/>
        </w:rPr>
        <w:t>参加线上展示答辩的团队，线下</w:t>
      </w:r>
      <w:r>
        <w:rPr>
          <w:rFonts w:ascii="仿宋" w:hAnsi="仿宋" w:eastAsia="仿宋" w:cs="仿宋"/>
          <w:sz w:val="32"/>
          <w:szCs w:val="32"/>
        </w:rPr>
        <w:t>录制10分钟时长</w:t>
      </w:r>
      <w:r>
        <w:rPr>
          <w:rFonts w:hint="eastAsia" w:ascii="仿宋" w:hAnsi="仿宋" w:eastAsia="仿宋" w:cs="仿宋"/>
          <w:sz w:val="32"/>
          <w:szCs w:val="32"/>
        </w:rPr>
        <w:t>的陈述展示视频，在规定的日期前，</w:t>
      </w:r>
      <w:r>
        <w:rPr>
          <w:rFonts w:ascii="仿宋" w:hAnsi="仿宋" w:eastAsia="仿宋" w:cs="仿宋"/>
          <w:sz w:val="32"/>
          <w:szCs w:val="32"/>
        </w:rPr>
        <w:t>将视频、展示PPT和参赛报告一起提交到省赛组委会，</w:t>
      </w:r>
      <w:r>
        <w:rPr>
          <w:rFonts w:hint="eastAsia" w:ascii="仿宋" w:hAnsi="仿宋" w:eastAsia="仿宋" w:cs="仿宋"/>
          <w:sz w:val="32"/>
          <w:szCs w:val="32"/>
        </w:rPr>
        <w:t>由省赛组委会组织线上会议，参赛团队线上播</w:t>
      </w:r>
      <w:r>
        <w:rPr>
          <w:rFonts w:ascii="仿宋" w:hAnsi="仿宋" w:eastAsia="仿宋" w:cs="仿宋"/>
          <w:sz w:val="32"/>
          <w:szCs w:val="32"/>
        </w:rPr>
        <w:t>放10分钟视频后，评委提问+团队答辩</w:t>
      </w:r>
      <w:r>
        <w:rPr>
          <w:rFonts w:hint="eastAsia" w:ascii="仿宋" w:hAnsi="仿宋" w:eastAsia="仿宋" w:cs="仿宋"/>
          <w:sz w:val="32"/>
          <w:szCs w:val="32"/>
        </w:rPr>
        <w:t>（</w:t>
      </w:r>
      <w:r>
        <w:rPr>
          <w:rFonts w:hint="eastAsia" w:ascii="仿宋_GB2312" w:eastAsia="仿宋_GB2312"/>
          <w:sz w:val="32"/>
          <w:szCs w:val="32"/>
        </w:rPr>
        <w:t>时长合计不超过７分钟</w:t>
      </w:r>
      <w:r>
        <w:rPr>
          <w:rFonts w:hint="eastAsia" w:ascii="仿宋" w:hAnsi="仿宋" w:eastAsia="仿宋" w:cs="仿宋"/>
          <w:sz w:val="32"/>
          <w:szCs w:val="32"/>
        </w:rPr>
        <w:t>）</w:t>
      </w:r>
      <w:r>
        <w:rPr>
          <w:rFonts w:ascii="仿宋" w:hAnsi="仿宋" w:eastAsia="仿宋" w:cs="仿宋"/>
          <w:sz w:val="32"/>
          <w:szCs w:val="32"/>
        </w:rPr>
        <w:t>。</w:t>
      </w:r>
    </w:p>
    <w:p>
      <w:pPr>
        <w:tabs>
          <w:tab w:val="left" w:pos="142"/>
        </w:tabs>
        <w:spacing w:line="480" w:lineRule="exact"/>
        <w:ind w:firstLine="480" w:firstLineChars="150"/>
        <w:rPr>
          <w:rFonts w:ascii="仿宋" w:hAnsi="仿宋" w:eastAsia="仿宋" w:cs="仿宋"/>
          <w:sz w:val="32"/>
          <w:szCs w:val="32"/>
        </w:rPr>
      </w:pPr>
    </w:p>
    <w:p>
      <w:pPr>
        <w:tabs>
          <w:tab w:val="left" w:pos="142"/>
        </w:tabs>
        <w:spacing w:line="480" w:lineRule="exact"/>
        <w:ind w:firstLine="640" w:firstLineChars="200"/>
        <w:rPr>
          <w:rFonts w:ascii="仿宋" w:hAnsi="仿宋" w:eastAsia="仿宋"/>
          <w:sz w:val="32"/>
          <w:szCs w:val="32"/>
        </w:rPr>
      </w:pPr>
      <w:r>
        <w:rPr>
          <w:rFonts w:hint="eastAsia" w:ascii="仿宋" w:hAnsi="仿宋" w:eastAsia="仿宋" w:cs="仿宋"/>
          <w:sz w:val="32"/>
          <w:szCs w:val="32"/>
          <w:shd w:val="pct10" w:color="auto" w:fill="FFFFFF"/>
        </w:rPr>
        <w:t>注1:线上比赛安排：</w:t>
      </w:r>
      <w:r>
        <w:rPr>
          <w:rFonts w:hint="eastAsia" w:ascii="仿宋" w:hAnsi="仿宋" w:eastAsia="仿宋"/>
          <w:sz w:val="32"/>
          <w:szCs w:val="32"/>
        </w:rPr>
        <w:t>4月 日线上答辩测试；分组抽签；４月 日线上开赛仪式、分组赛；４月 日决赛、总结颁奖。</w:t>
      </w:r>
    </w:p>
    <w:p>
      <w:pPr>
        <w:spacing w:before="120" w:line="480" w:lineRule="exact"/>
        <w:ind w:firstLine="627" w:firstLineChars="196"/>
        <w:rPr>
          <w:rFonts w:ascii="仿宋_GB2312" w:eastAsia="仿宋_GB2312"/>
          <w:sz w:val="32"/>
          <w:szCs w:val="32"/>
        </w:rPr>
      </w:pPr>
      <w:r>
        <w:rPr>
          <w:rFonts w:hint="eastAsia" w:ascii="仿宋_GB2312" w:eastAsia="仿宋_GB2312"/>
          <w:sz w:val="32"/>
          <w:szCs w:val="32"/>
          <w:shd w:val="pct10" w:color="auto" w:fill="FFFFFF"/>
        </w:rPr>
        <w:t>注2：线上比赛程序：</w:t>
      </w:r>
      <w:r>
        <w:rPr>
          <w:rFonts w:hint="eastAsia" w:ascii="仿宋_GB2312" w:eastAsia="仿宋_GB2312"/>
          <w:sz w:val="32"/>
          <w:szCs w:val="32"/>
        </w:rPr>
        <w:t>比赛开始，由工作人员播放团体展示视频，时长不超过</w:t>
      </w:r>
      <w:r>
        <w:rPr>
          <w:rFonts w:hint="eastAsia" w:ascii="仿宋_GB2312" w:eastAsia="仿宋_GB2312"/>
          <w:b/>
          <w:color w:val="FF0000"/>
          <w:sz w:val="32"/>
          <w:szCs w:val="32"/>
        </w:rPr>
        <w:t>10</w:t>
      </w:r>
      <w:r>
        <w:rPr>
          <w:rFonts w:hint="eastAsia" w:ascii="仿宋_GB2312" w:eastAsia="仿宋_GB2312"/>
          <w:sz w:val="32"/>
          <w:szCs w:val="32"/>
        </w:rPr>
        <w:t>分钟；</w:t>
      </w:r>
      <w:r>
        <w:rPr>
          <w:rFonts w:hint="eastAsia" w:ascii="仿宋_GB2312" w:eastAsia="仿宋_GB2312"/>
          <w:b/>
          <w:color w:val="FF0000"/>
          <w:sz w:val="32"/>
          <w:szCs w:val="32"/>
        </w:rPr>
        <w:t>视频</w:t>
      </w:r>
      <w:r>
        <w:rPr>
          <w:rFonts w:hint="eastAsia" w:ascii="仿宋_GB2312" w:eastAsia="仿宋_GB2312"/>
          <w:sz w:val="32"/>
          <w:szCs w:val="32"/>
        </w:rPr>
        <w:t>播放结束，识别队员身份信息；接下来评委提问，学生统一回答问题。</w:t>
      </w:r>
      <w:r>
        <w:rPr>
          <w:rFonts w:hint="eastAsia" w:ascii="仿宋_GB2312" w:eastAsia="仿宋_GB2312"/>
          <w:b/>
          <w:color w:val="FF0000"/>
          <w:sz w:val="32"/>
          <w:szCs w:val="32"/>
        </w:rPr>
        <w:t>提问和回答</w:t>
      </w:r>
      <w:r>
        <w:rPr>
          <w:rFonts w:hint="eastAsia" w:ascii="仿宋_GB2312" w:eastAsia="仿宋_GB2312"/>
          <w:sz w:val="32"/>
          <w:szCs w:val="32"/>
        </w:rPr>
        <w:t>时长合计不超过７分钟，第５分钟工作人员提示倒计时２分钟。</w:t>
      </w:r>
    </w:p>
    <w:p>
      <w:pPr>
        <w:tabs>
          <w:tab w:val="left" w:pos="0"/>
        </w:tabs>
        <w:spacing w:before="120" w:line="480" w:lineRule="exact"/>
        <w:ind w:firstLine="640" w:firstLineChars="200"/>
        <w:rPr>
          <w:rFonts w:ascii="仿宋" w:hAnsi="仿宋" w:eastAsia="仿宋"/>
          <w:sz w:val="32"/>
          <w:szCs w:val="32"/>
        </w:rPr>
      </w:pPr>
      <w:r>
        <w:rPr>
          <w:rFonts w:hint="eastAsia" w:ascii="仿宋" w:hAnsi="仿宋" w:eastAsia="仿宋"/>
          <w:sz w:val="32"/>
          <w:szCs w:val="32"/>
          <w:shd w:val="pct10" w:color="auto" w:fill="FFFFFF"/>
        </w:rPr>
        <w:t>注3：作品提交方式</w:t>
      </w:r>
      <w:r>
        <w:rPr>
          <w:rFonts w:hint="eastAsia" w:ascii="仿宋" w:hAnsi="仿宋" w:eastAsia="仿宋"/>
          <w:sz w:val="32"/>
          <w:szCs w:val="32"/>
        </w:rPr>
        <w:t>：参加线上展示答辩团队，于4月***日前，将参赛作品信息表、参赛报告、2000字以内的摘要、PPT、视频、参赛承诺书放在一个文件夹，压缩后发送至省赛组委会邮箱（文件夹请注明学校名称和团队名称）。若参赛校</w:t>
      </w:r>
      <w:r>
        <w:rPr>
          <w:rFonts w:hint="eastAsia" w:ascii="仿宋" w:hAnsi="仿宋" w:eastAsia="仿宋"/>
          <w:b/>
          <w:color w:val="FF0000"/>
          <w:sz w:val="32"/>
          <w:szCs w:val="32"/>
        </w:rPr>
        <w:t>有多支团队参赛，要以团队为单位分开提交竞赛资料</w:t>
      </w:r>
      <w:r>
        <w:rPr>
          <w:rFonts w:hint="eastAsia" w:ascii="仿宋" w:hAnsi="仿宋" w:eastAsia="仿宋"/>
          <w:sz w:val="32"/>
          <w:szCs w:val="32"/>
        </w:rPr>
        <w:t>，提交后，不予更改。</w:t>
      </w:r>
    </w:p>
    <w:p>
      <w:pPr>
        <w:pStyle w:val="13"/>
        <w:tabs>
          <w:tab w:val="left" w:pos="142"/>
        </w:tabs>
        <w:spacing w:before="240" w:line="480" w:lineRule="exact"/>
        <w:ind w:firstLine="566" w:firstLineChars="177"/>
        <w:rPr>
          <w:rFonts w:ascii="仿宋" w:hAnsi="仿宋" w:eastAsia="仿宋"/>
          <w:sz w:val="32"/>
          <w:szCs w:val="32"/>
        </w:rPr>
      </w:pPr>
      <w:r>
        <w:rPr>
          <w:rFonts w:hint="eastAsia" w:ascii="仿宋" w:hAnsi="仿宋" w:eastAsia="仿宋"/>
          <w:sz w:val="32"/>
          <w:szCs w:val="32"/>
          <w:shd w:val="pct10" w:color="auto" w:fill="FFFFFF"/>
        </w:rPr>
        <w:t>注4：视频要求：</w:t>
      </w:r>
      <w:r>
        <w:rPr>
          <w:rFonts w:hint="eastAsia" w:ascii="仿宋" w:hAnsi="仿宋" w:eastAsia="仿宋"/>
          <w:sz w:val="32"/>
          <w:szCs w:val="32"/>
        </w:rPr>
        <w:t>每支团队线下</w:t>
      </w:r>
      <w:r>
        <w:rPr>
          <w:rFonts w:ascii="仿宋" w:hAnsi="仿宋" w:eastAsia="仿宋"/>
          <w:sz w:val="32"/>
          <w:szCs w:val="32"/>
        </w:rPr>
        <w:t>录制</w:t>
      </w:r>
      <w:r>
        <w:rPr>
          <w:rFonts w:hint="eastAsia" w:ascii="仿宋" w:hAnsi="仿宋" w:eastAsia="仿宋"/>
          <w:sz w:val="32"/>
          <w:szCs w:val="32"/>
        </w:rPr>
        <w:t>展示陈述视频，时长</w:t>
      </w:r>
      <w:r>
        <w:rPr>
          <w:rFonts w:hint="eastAsia" w:ascii="仿宋" w:hAnsi="仿宋" w:eastAsia="仿宋"/>
          <w:b/>
          <w:color w:val="FF0000"/>
          <w:sz w:val="32"/>
          <w:szCs w:val="32"/>
        </w:rPr>
        <w:t>不超过</w:t>
      </w:r>
      <w:r>
        <w:rPr>
          <w:rFonts w:ascii="仿宋" w:hAnsi="仿宋" w:eastAsia="仿宋"/>
          <w:b/>
          <w:color w:val="FF0000"/>
          <w:sz w:val="32"/>
          <w:szCs w:val="32"/>
        </w:rPr>
        <w:t>10</w:t>
      </w:r>
      <w:r>
        <w:rPr>
          <w:rFonts w:ascii="仿宋" w:hAnsi="仿宋" w:eastAsia="仿宋"/>
          <w:sz w:val="32"/>
          <w:szCs w:val="32"/>
        </w:rPr>
        <w:t>分钟</w:t>
      </w:r>
      <w:r>
        <w:rPr>
          <w:rFonts w:hint="eastAsia" w:ascii="仿宋" w:hAnsi="仿宋" w:eastAsia="仿宋"/>
          <w:sz w:val="32"/>
          <w:szCs w:val="32"/>
        </w:rPr>
        <w:t>，可拼接、剪辑，分辨率1280*720，大小不超过300M，MP4格式。视频录制可根据各校的实际情况，由一人或几个小组成员配合陈述，建议团队合作陈述，以展示全队成员团结协作的能力和风采。</w:t>
      </w:r>
    </w:p>
    <w:p>
      <w:pPr>
        <w:tabs>
          <w:tab w:val="left" w:pos="142"/>
        </w:tabs>
        <w:spacing w:before="240" w:line="480" w:lineRule="exact"/>
        <w:ind w:firstLine="566" w:firstLineChars="177"/>
        <w:rPr>
          <w:rFonts w:ascii="仿宋" w:hAnsi="仿宋" w:eastAsia="仿宋"/>
          <w:sz w:val="32"/>
          <w:szCs w:val="32"/>
          <w:shd w:val="pct10" w:color="auto" w:fill="FFFFFF"/>
        </w:rPr>
      </w:pPr>
      <w:r>
        <w:rPr>
          <w:rFonts w:hint="eastAsia" w:ascii="仿宋" w:hAnsi="仿宋" w:eastAsia="仿宋"/>
          <w:sz w:val="32"/>
          <w:szCs w:val="32"/>
          <w:shd w:val="pct10" w:color="auto" w:fill="FFFFFF"/>
        </w:rPr>
        <w:t>注5：</w:t>
      </w:r>
      <w:r>
        <w:rPr>
          <w:rFonts w:hint="eastAsia" w:ascii="仿宋" w:hAnsi="仿宋" w:eastAsia="仿宋"/>
          <w:sz w:val="32"/>
          <w:szCs w:val="32"/>
        </w:rPr>
        <w:t>团队提交的</w:t>
      </w:r>
      <w:r>
        <w:rPr>
          <w:rFonts w:hint="eastAsia" w:ascii="仿宋" w:hAnsi="仿宋" w:eastAsia="仿宋"/>
          <w:b/>
          <w:color w:val="FF0000"/>
          <w:sz w:val="32"/>
          <w:szCs w:val="32"/>
        </w:rPr>
        <w:t>视频、PPT、参赛报告和摘要中均不得出现参赛校信息</w:t>
      </w:r>
      <w:r>
        <w:rPr>
          <w:rFonts w:hint="eastAsia" w:ascii="仿宋" w:hAnsi="仿宋" w:eastAsia="仿宋"/>
          <w:sz w:val="32"/>
          <w:szCs w:val="32"/>
        </w:rPr>
        <w:t>（学校名称或标识、指导教师姓名），以免评审扣分。</w:t>
      </w:r>
    </w:p>
    <w:p>
      <w:pPr>
        <w:spacing w:before="240" w:line="480" w:lineRule="exact"/>
        <w:ind w:firstLine="707" w:firstLineChars="220"/>
        <w:rPr>
          <w:rFonts w:ascii="仿宋" w:hAnsi="仿宋" w:eastAsia="仿宋" w:cs="仿宋"/>
          <w:b/>
          <w:sz w:val="32"/>
          <w:szCs w:val="32"/>
        </w:rPr>
      </w:pPr>
      <w:r>
        <w:rPr>
          <w:rFonts w:hint="eastAsia" w:ascii="仿宋" w:hAnsi="仿宋" w:eastAsia="仿宋" w:cs="仿宋"/>
          <w:b/>
          <w:sz w:val="32"/>
          <w:szCs w:val="32"/>
        </w:rPr>
        <w:t>二、参赛对象</w:t>
      </w:r>
    </w:p>
    <w:p>
      <w:pPr>
        <w:spacing w:line="480" w:lineRule="exact"/>
        <w:ind w:firstLine="640" w:firstLineChars="200"/>
        <w:rPr>
          <w:rFonts w:ascii="仿宋" w:hAnsi="仿宋" w:eastAsia="仿宋" w:cs="仿宋"/>
          <w:sz w:val="32"/>
          <w:szCs w:val="32"/>
        </w:rPr>
      </w:pPr>
      <w:r>
        <w:rPr>
          <w:rFonts w:hint="eastAsia" w:ascii="仿宋" w:hAnsi="仿宋" w:eastAsia="仿宋" w:cs="仿宋"/>
          <w:sz w:val="32"/>
          <w:szCs w:val="32"/>
        </w:rPr>
        <w:t>校赛胜出，晋级省赛团队。每个团队由3-5名知识赛网考通过的</w:t>
      </w:r>
      <w:r>
        <w:rPr>
          <w:rFonts w:hint="eastAsia" w:ascii="仿宋" w:hAnsi="仿宋" w:eastAsia="仿宋" w:cs="仿宋"/>
          <w:b/>
          <w:color w:val="FF0000"/>
          <w:sz w:val="32"/>
          <w:szCs w:val="32"/>
        </w:rPr>
        <w:t>本科</w:t>
      </w:r>
      <w:r>
        <w:rPr>
          <w:rFonts w:hint="eastAsia" w:ascii="仿宋" w:hAnsi="仿宋" w:eastAsia="仿宋" w:cs="仿宋"/>
          <w:bCs/>
          <w:color w:val="000000" w:themeColor="text1"/>
          <w:sz w:val="32"/>
          <w:szCs w:val="32"/>
          <w14:textFill>
            <w14:solidFill>
              <w14:schemeClr w14:val="tx1"/>
            </w14:solidFill>
          </w14:textFill>
        </w:rPr>
        <w:t>参赛选手</w:t>
      </w:r>
      <w:r>
        <w:rPr>
          <w:rFonts w:hint="eastAsia" w:ascii="仿宋" w:hAnsi="仿宋" w:eastAsia="仿宋" w:cs="仿宋"/>
          <w:sz w:val="32"/>
          <w:szCs w:val="32"/>
        </w:rPr>
        <w:t>组成，参赛选手不可以交叉组队，辅导教师可以辅导多支参赛队。</w:t>
      </w:r>
    </w:p>
    <w:p>
      <w:pPr>
        <w:spacing w:line="480" w:lineRule="exact"/>
        <w:ind w:firstLine="627" w:firstLineChars="196"/>
        <w:rPr>
          <w:rFonts w:ascii="仿宋" w:hAnsi="仿宋" w:eastAsia="仿宋" w:cs="仿宋"/>
          <w:sz w:val="32"/>
          <w:szCs w:val="32"/>
        </w:rPr>
      </w:pPr>
      <w:r>
        <w:rPr>
          <w:rFonts w:hint="eastAsia" w:ascii="仿宋" w:hAnsi="仿宋" w:eastAsia="仿宋" w:cs="仿宋"/>
          <w:bCs/>
          <w:color w:val="000000" w:themeColor="text1"/>
          <w:sz w:val="32"/>
          <w:szCs w:val="32"/>
          <w14:textFill>
            <w14:solidFill>
              <w14:schemeClr w14:val="tx1"/>
            </w14:solidFill>
          </w14:textFill>
        </w:rPr>
        <w:t>省赛团队要求：</w:t>
      </w:r>
      <w:r>
        <w:rPr>
          <w:rFonts w:hint="eastAsia" w:ascii="仿宋" w:hAnsi="仿宋" w:eastAsia="仿宋" w:cs="仿宋"/>
          <w:sz w:val="32"/>
          <w:szCs w:val="32"/>
        </w:rPr>
        <w:t>各参赛校推荐校赛得分靠前的团队参加省赛，推荐队数按本校</w:t>
      </w:r>
      <w:r>
        <w:rPr>
          <w:rFonts w:hint="eastAsia" w:ascii="仿宋" w:hAnsi="仿宋" w:eastAsia="仿宋" w:cs="仿宋"/>
          <w:b/>
          <w:color w:val="FF0000"/>
          <w:sz w:val="32"/>
          <w:szCs w:val="32"/>
        </w:rPr>
        <w:t>网考通过人数除以20</w:t>
      </w:r>
      <w:r>
        <w:rPr>
          <w:rFonts w:hint="eastAsia" w:ascii="仿宋" w:hAnsi="仿宋" w:eastAsia="仿宋" w:cs="仿宋"/>
          <w:sz w:val="32"/>
          <w:szCs w:val="32"/>
        </w:rPr>
        <w:t>计算，四舍五入，每个院校最多不超过15支团队（各校参加省赛团队数量见附件5）。</w:t>
      </w:r>
    </w:p>
    <w:p>
      <w:pPr>
        <w:spacing w:before="240" w:line="480" w:lineRule="exact"/>
        <w:ind w:firstLine="707" w:firstLineChars="220"/>
        <w:rPr>
          <w:rFonts w:ascii="仿宋" w:hAnsi="仿宋" w:eastAsia="仿宋" w:cs="仿宋"/>
          <w:b/>
          <w:sz w:val="32"/>
          <w:szCs w:val="32"/>
        </w:rPr>
      </w:pPr>
      <w:r>
        <w:rPr>
          <w:rFonts w:hint="eastAsia" w:ascii="仿宋" w:hAnsi="仿宋" w:eastAsia="仿宋" w:cs="仿宋"/>
          <w:b/>
          <w:sz w:val="32"/>
          <w:szCs w:val="32"/>
        </w:rPr>
        <w:t>三</w:t>
      </w:r>
      <w:r>
        <w:rPr>
          <w:rFonts w:ascii="仿宋" w:hAnsi="仿宋" w:eastAsia="仿宋" w:cs="仿宋"/>
          <w:b/>
          <w:sz w:val="32"/>
          <w:szCs w:val="32"/>
        </w:rPr>
        <w:t>、报名方式</w:t>
      </w:r>
    </w:p>
    <w:p>
      <w:pPr>
        <w:spacing w:line="480" w:lineRule="exact"/>
        <w:ind w:firstLine="707" w:firstLineChars="221"/>
        <w:rPr>
          <w:rFonts w:ascii="仿宋_GB2312" w:eastAsia="仿宋_GB2312"/>
          <w:sz w:val="32"/>
          <w:szCs w:val="32"/>
        </w:rPr>
      </w:pPr>
      <w:r>
        <w:rPr>
          <w:rFonts w:hint="eastAsia" w:ascii="仿宋_GB2312" w:eastAsia="仿宋_GB2312"/>
          <w:sz w:val="32"/>
          <w:szCs w:val="32"/>
        </w:rPr>
        <w:t>1.2022年4月  日前，由各校参赛负责人（或联系人）向省赛组委会提交参赛报名表（附件6），由省赛组委会对报名信息进行汇总确认。</w:t>
      </w:r>
    </w:p>
    <w:p>
      <w:pPr>
        <w:spacing w:line="480" w:lineRule="exact"/>
        <w:ind w:firstLine="707" w:firstLineChars="221"/>
        <w:rPr>
          <w:rFonts w:ascii="仿宋_GB2312" w:eastAsia="仿宋_GB2312"/>
          <w:sz w:val="32"/>
          <w:szCs w:val="32"/>
        </w:rPr>
      </w:pPr>
      <w:r>
        <w:rPr>
          <w:rFonts w:hint="eastAsia" w:ascii="仿宋_GB2312" w:eastAsia="仿宋_GB2312"/>
          <w:sz w:val="32"/>
          <w:szCs w:val="32"/>
        </w:rPr>
        <w:t>2.省赛不收取参赛费。</w:t>
      </w:r>
    </w:p>
    <w:p>
      <w:pPr>
        <w:spacing w:before="240" w:line="480" w:lineRule="exact"/>
        <w:ind w:firstLine="707" w:firstLineChars="220"/>
        <w:rPr>
          <w:rFonts w:ascii="仿宋" w:hAnsi="仿宋" w:eastAsia="仿宋" w:cs="仿宋"/>
          <w:b/>
          <w:sz w:val="32"/>
          <w:szCs w:val="32"/>
        </w:rPr>
      </w:pPr>
      <w:r>
        <w:rPr>
          <w:rFonts w:hint="eastAsia" w:ascii="仿宋" w:hAnsi="仿宋" w:eastAsia="仿宋" w:cs="仿宋"/>
          <w:b/>
          <w:sz w:val="32"/>
          <w:szCs w:val="32"/>
        </w:rPr>
        <w:t>四</w:t>
      </w:r>
      <w:r>
        <w:rPr>
          <w:rFonts w:ascii="仿宋" w:hAnsi="仿宋" w:eastAsia="仿宋" w:cs="仿宋"/>
          <w:b/>
          <w:sz w:val="32"/>
          <w:szCs w:val="32"/>
        </w:rPr>
        <w:t>、奖项设置</w:t>
      </w:r>
    </w:p>
    <w:p>
      <w:pPr>
        <w:spacing w:line="520" w:lineRule="exact"/>
        <w:ind w:firstLine="640" w:firstLineChars="200"/>
        <w:rPr>
          <w:rFonts w:ascii="仿宋" w:hAnsi="仿宋" w:eastAsia="仿宋"/>
          <w:sz w:val="32"/>
          <w:szCs w:val="32"/>
        </w:rPr>
      </w:pPr>
      <w:r>
        <w:rPr>
          <w:rFonts w:hint="eastAsia" w:ascii="仿宋" w:hAnsi="仿宋" w:eastAsia="仿宋" w:cs="仿宋"/>
          <w:sz w:val="32"/>
          <w:szCs w:val="32"/>
        </w:rPr>
        <w:t>1.</w:t>
      </w:r>
      <w:r>
        <w:rPr>
          <w:rFonts w:hint="eastAsia" w:ascii="仿宋" w:hAnsi="仿宋" w:eastAsia="仿宋"/>
          <w:sz w:val="32"/>
          <w:szCs w:val="32"/>
        </w:rPr>
        <w:t>依据大赛组委会公布的全国总决赛答辩队数和全国总决赛三等奖推荐队数，按照省赛排名确定晋级全国总决赛答辩的团队和推荐全国总决赛三等奖团队。</w:t>
      </w:r>
    </w:p>
    <w:p>
      <w:pPr>
        <w:spacing w:line="520" w:lineRule="exact"/>
        <w:ind w:firstLine="707" w:firstLineChars="221"/>
        <w:rPr>
          <w:rFonts w:ascii="仿宋" w:hAnsi="仿宋" w:eastAsia="仿宋"/>
          <w:sz w:val="32"/>
          <w:szCs w:val="32"/>
        </w:rPr>
      </w:pPr>
      <w:r>
        <w:rPr>
          <w:rFonts w:hint="eastAsia" w:ascii="仿宋" w:hAnsi="仿宋" w:eastAsia="仿宋"/>
          <w:sz w:val="32"/>
          <w:szCs w:val="32"/>
        </w:rPr>
        <w:t>2.省赛设置一等奖、二等奖和三等奖，比例分别为省赛队数</w:t>
      </w:r>
      <w:r>
        <w:rPr>
          <w:rFonts w:hint="eastAsia" w:ascii="仿宋" w:hAnsi="仿宋" w:eastAsia="仿宋"/>
          <w:sz w:val="32"/>
          <w:szCs w:val="32"/>
          <w:highlight w:val="none"/>
        </w:rPr>
        <w:t>（除去晋级全国总决赛答辩队数和国赛三等奖推荐队数）</w:t>
      </w:r>
      <w:r>
        <w:rPr>
          <w:rFonts w:hint="eastAsia" w:ascii="仿宋" w:hAnsi="仿宋" w:eastAsia="仿宋"/>
          <w:sz w:val="32"/>
          <w:szCs w:val="32"/>
        </w:rPr>
        <w:t>的30%、30%和40%。</w:t>
      </w:r>
    </w:p>
    <w:p>
      <w:pPr>
        <w:spacing w:line="48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3.经全国大赛组委会核准，于全国总决赛结</w:t>
      </w:r>
      <w:bookmarkStart w:id="0" w:name="_GoBack"/>
      <w:bookmarkEnd w:id="0"/>
      <w:r>
        <w:rPr>
          <w:rFonts w:hint="eastAsia" w:ascii="仿宋" w:hAnsi="仿宋" w:eastAsia="仿宋" w:cs="仿宋"/>
          <w:sz w:val="32"/>
          <w:szCs w:val="32"/>
        </w:rPr>
        <w:t>束后，统一颁发获奖证书。</w:t>
      </w:r>
    </w:p>
    <w:p>
      <w:pPr>
        <w:spacing w:before="240" w:line="480" w:lineRule="exact"/>
        <w:ind w:firstLine="707" w:firstLineChars="220"/>
        <w:rPr>
          <w:rFonts w:ascii="仿宋" w:hAnsi="仿宋" w:eastAsia="仿宋" w:cs="仿宋"/>
          <w:b/>
          <w:sz w:val="32"/>
          <w:szCs w:val="32"/>
        </w:rPr>
      </w:pPr>
      <w:r>
        <w:rPr>
          <w:rFonts w:hint="eastAsia" w:ascii="仿宋" w:hAnsi="仿宋" w:eastAsia="仿宋" w:cs="仿宋"/>
          <w:b/>
          <w:sz w:val="32"/>
          <w:szCs w:val="32"/>
        </w:rPr>
        <w:t>五</w:t>
      </w:r>
      <w:r>
        <w:rPr>
          <w:rFonts w:ascii="仿宋" w:hAnsi="仿宋" w:eastAsia="仿宋" w:cs="仿宋"/>
          <w:b/>
          <w:sz w:val="32"/>
          <w:szCs w:val="32"/>
        </w:rPr>
        <w:t>、联系方式</w:t>
      </w:r>
    </w:p>
    <w:p>
      <w:pPr>
        <w:spacing w:line="480" w:lineRule="exact"/>
        <w:ind w:firstLine="640" w:firstLineChars="200"/>
        <w:rPr>
          <w:rFonts w:ascii="仿宋_GB2312" w:hAnsi="Calibri" w:eastAsia="仿宋_GB2312" w:cs="Times New Roman"/>
          <w:sz w:val="32"/>
          <w:szCs w:val="32"/>
        </w:rPr>
      </w:pPr>
      <w:r>
        <w:rPr>
          <w:rFonts w:hint="eastAsia" w:ascii="仿宋_GB2312" w:hAnsi="Calibri" w:eastAsia="仿宋_GB2312" w:cs="Times New Roman"/>
          <w:sz w:val="32"/>
          <w:szCs w:val="32"/>
        </w:rPr>
        <w:t>全国大学生市场调查与分析大赛***省分赛区组委会设在***大学**学院。</w:t>
      </w:r>
    </w:p>
    <w:p>
      <w:pPr>
        <w:spacing w:line="480" w:lineRule="exact"/>
        <w:ind w:firstLine="640" w:firstLineChars="200"/>
        <w:rPr>
          <w:rFonts w:ascii="仿宋_GB2312" w:hAnsi="Calibri" w:eastAsia="仿宋_GB2312" w:cs="Times New Roman"/>
          <w:sz w:val="32"/>
          <w:szCs w:val="32"/>
        </w:rPr>
      </w:pPr>
      <w:r>
        <w:rPr>
          <w:rFonts w:ascii="仿宋_GB2312" w:hAnsi="Calibri" w:eastAsia="仿宋_GB2312" w:cs="Times New Roman"/>
          <w:sz w:val="32"/>
          <w:szCs w:val="32"/>
        </w:rPr>
        <w:t>联系人：</w:t>
      </w:r>
    </w:p>
    <w:p>
      <w:pPr>
        <w:spacing w:line="480" w:lineRule="exact"/>
        <w:ind w:firstLine="640" w:firstLineChars="200"/>
        <w:rPr>
          <w:rFonts w:ascii="仿宋_GB2312" w:eastAsia="仿宋_GB2312"/>
          <w:sz w:val="32"/>
          <w:szCs w:val="32"/>
        </w:rPr>
      </w:pPr>
      <w:r>
        <w:rPr>
          <w:rFonts w:ascii="仿宋_GB2312" w:eastAsia="仿宋_GB2312"/>
          <w:sz w:val="32"/>
          <w:szCs w:val="32"/>
        </w:rPr>
        <w:t>手机：</w:t>
      </w:r>
    </w:p>
    <w:p>
      <w:pPr>
        <w:pStyle w:val="6"/>
        <w:shd w:val="clear" w:color="auto" w:fill="FFFFFF"/>
        <w:spacing w:before="0" w:beforeAutospacing="0" w:after="0" w:afterAutospacing="0" w:line="480" w:lineRule="exact"/>
        <w:ind w:firstLine="640" w:firstLineChars="200"/>
        <w:rPr>
          <w:rFonts w:ascii="仿宋_GB2312" w:eastAsia="仿宋_GB2312" w:hAnsiTheme="minorHAnsi" w:cstheme="minorBidi"/>
          <w:kern w:val="2"/>
          <w:sz w:val="32"/>
          <w:szCs w:val="32"/>
        </w:rPr>
      </w:pPr>
      <w:r>
        <w:rPr>
          <w:rFonts w:ascii="仿宋_GB2312" w:eastAsia="仿宋_GB2312" w:hAnsiTheme="minorHAnsi" w:cstheme="minorBidi"/>
          <w:kern w:val="2"/>
          <w:sz w:val="32"/>
          <w:szCs w:val="32"/>
        </w:rPr>
        <w:t>邮箱：</w:t>
      </w:r>
    </w:p>
    <w:p>
      <w:pPr>
        <w:pStyle w:val="6"/>
        <w:shd w:val="clear" w:color="auto" w:fill="FFFFFF"/>
        <w:spacing w:before="0" w:beforeAutospacing="0" w:after="0" w:afterAutospacing="0" w:line="480" w:lineRule="exact"/>
        <w:ind w:firstLine="140" w:firstLineChars="44"/>
        <w:rPr>
          <w:rFonts w:ascii="仿宋_GB2312" w:eastAsia="仿宋_GB2312" w:hAnsiTheme="minorHAnsi" w:cstheme="minorBidi"/>
          <w:kern w:val="2"/>
          <w:sz w:val="32"/>
          <w:szCs w:val="32"/>
        </w:rPr>
      </w:pPr>
    </w:p>
    <w:p>
      <w:pPr>
        <w:pStyle w:val="6"/>
        <w:shd w:val="clear" w:color="auto" w:fill="FFFFFF"/>
        <w:spacing w:before="0" w:beforeAutospacing="0" w:after="0" w:afterAutospacing="0" w:line="480" w:lineRule="exact"/>
        <w:ind w:firstLine="140" w:firstLineChars="44"/>
        <w:rPr>
          <w:rFonts w:ascii="仿宋_GB2312" w:eastAsia="仿宋_GB2312" w:hAnsiTheme="minorHAnsi" w:cstheme="minorBidi"/>
          <w:kern w:val="2"/>
          <w:sz w:val="32"/>
          <w:szCs w:val="32"/>
        </w:rPr>
      </w:pPr>
    </w:p>
    <w:p>
      <w:pPr>
        <w:pStyle w:val="6"/>
        <w:shd w:val="clear" w:color="auto" w:fill="FFFFFF"/>
        <w:spacing w:before="0" w:beforeAutospacing="0" w:after="0" w:afterAutospacing="0" w:line="480" w:lineRule="exact"/>
        <w:ind w:firstLine="160" w:firstLineChars="50"/>
        <w:rPr>
          <w:rFonts w:ascii="仿宋_GB2312" w:eastAsia="仿宋_GB2312" w:hAnsiTheme="minorHAnsi" w:cstheme="minorBidi"/>
          <w:kern w:val="2"/>
          <w:sz w:val="32"/>
          <w:szCs w:val="32"/>
        </w:rPr>
      </w:pPr>
      <w:r>
        <w:rPr>
          <w:rFonts w:hint="eastAsia" w:ascii="仿宋_GB2312" w:eastAsia="仿宋_GB2312" w:hAnsiTheme="minorHAnsi" w:cstheme="minorBidi"/>
          <w:kern w:val="2"/>
          <w:sz w:val="32"/>
          <w:szCs w:val="32"/>
        </w:rPr>
        <w:t>附件1：报告排版格式</w:t>
      </w:r>
    </w:p>
    <w:p>
      <w:pPr>
        <w:pStyle w:val="6"/>
        <w:shd w:val="clear" w:color="auto" w:fill="FFFFFF"/>
        <w:spacing w:before="0" w:beforeAutospacing="0" w:after="0" w:afterAutospacing="0" w:line="360" w:lineRule="exact"/>
        <w:ind w:firstLine="160" w:firstLineChars="50"/>
        <w:rPr>
          <w:rFonts w:ascii="仿宋" w:hAnsi="仿宋" w:eastAsia="仿宋" w:cs="仿宋"/>
          <w:sz w:val="32"/>
          <w:szCs w:val="32"/>
        </w:rPr>
      </w:pPr>
      <w:r>
        <w:rPr>
          <w:rFonts w:hint="eastAsia" w:ascii="仿宋_GB2312" w:eastAsia="仿宋_GB2312" w:hAnsiTheme="minorHAnsi" w:cstheme="minorBidi"/>
          <w:kern w:val="2"/>
          <w:sz w:val="32"/>
          <w:szCs w:val="32"/>
        </w:rPr>
        <w:t>附件2：</w:t>
      </w:r>
      <w:r>
        <w:rPr>
          <w:rFonts w:hint="eastAsia" w:ascii="仿宋" w:hAnsi="仿宋" w:eastAsia="仿宋" w:cs="仿宋"/>
          <w:kern w:val="2"/>
          <w:sz w:val="32"/>
          <w:szCs w:val="32"/>
        </w:rPr>
        <w:t>参赛作品信息表</w:t>
      </w:r>
    </w:p>
    <w:p>
      <w:pPr>
        <w:pStyle w:val="6"/>
        <w:shd w:val="clear" w:color="auto" w:fill="FFFFFF"/>
        <w:spacing w:before="0" w:beforeAutospacing="0" w:after="0" w:afterAutospacing="0" w:line="360" w:lineRule="exact"/>
        <w:ind w:firstLine="140" w:firstLineChars="44"/>
        <w:rPr>
          <w:rFonts w:ascii="仿宋" w:hAnsi="仿宋" w:eastAsia="仿宋" w:cs="仿宋"/>
          <w:kern w:val="2"/>
          <w:sz w:val="32"/>
          <w:szCs w:val="32"/>
        </w:rPr>
      </w:pPr>
      <w:r>
        <w:rPr>
          <w:rFonts w:hint="eastAsia" w:ascii="仿宋_GB2312" w:eastAsia="仿宋_GB2312" w:hAnsiTheme="minorHAnsi" w:cstheme="minorBidi"/>
          <w:kern w:val="2"/>
          <w:sz w:val="32"/>
          <w:szCs w:val="32"/>
        </w:rPr>
        <w:t>附件3：</w:t>
      </w:r>
      <w:r>
        <w:rPr>
          <w:rFonts w:hint="eastAsia" w:ascii="仿宋" w:hAnsi="仿宋" w:eastAsia="仿宋" w:cs="仿宋"/>
          <w:kern w:val="2"/>
          <w:sz w:val="32"/>
          <w:szCs w:val="32"/>
        </w:rPr>
        <w:t>参赛承诺书</w:t>
      </w:r>
    </w:p>
    <w:p>
      <w:pPr>
        <w:pStyle w:val="6"/>
        <w:shd w:val="clear" w:color="auto" w:fill="FFFFFF"/>
        <w:spacing w:before="0" w:beforeAutospacing="0" w:after="0" w:afterAutospacing="0" w:line="360" w:lineRule="exact"/>
        <w:ind w:firstLine="140" w:firstLineChars="44"/>
        <w:rPr>
          <w:rFonts w:ascii="仿宋" w:hAnsi="仿宋" w:eastAsia="仿宋" w:cs="仿宋"/>
          <w:kern w:val="2"/>
          <w:sz w:val="32"/>
          <w:szCs w:val="32"/>
        </w:rPr>
      </w:pPr>
      <w:r>
        <w:rPr>
          <w:rFonts w:hint="eastAsia" w:ascii="仿宋_GB2312" w:eastAsia="仿宋_GB2312" w:hAnsiTheme="minorHAnsi" w:cstheme="minorBidi"/>
          <w:kern w:val="2"/>
          <w:sz w:val="32"/>
          <w:szCs w:val="32"/>
        </w:rPr>
        <w:t>附件4：</w:t>
      </w:r>
      <w:r>
        <w:rPr>
          <w:rFonts w:hint="eastAsia" w:ascii="仿宋" w:hAnsi="仿宋" w:eastAsia="仿宋" w:cs="仿宋"/>
          <w:kern w:val="2"/>
          <w:sz w:val="32"/>
          <w:szCs w:val="32"/>
        </w:rPr>
        <w:t>打分表</w:t>
      </w:r>
    </w:p>
    <w:p>
      <w:pPr>
        <w:pStyle w:val="6"/>
        <w:shd w:val="clear" w:color="auto" w:fill="FFFFFF"/>
        <w:spacing w:before="0" w:beforeAutospacing="0" w:after="0" w:afterAutospacing="0" w:line="360" w:lineRule="exact"/>
        <w:ind w:firstLine="140" w:firstLineChars="44"/>
        <w:rPr>
          <w:rFonts w:ascii="仿宋_GB2312" w:eastAsia="仿宋_GB2312"/>
          <w:sz w:val="32"/>
          <w:szCs w:val="32"/>
        </w:rPr>
      </w:pPr>
      <w:r>
        <w:rPr>
          <w:rFonts w:hint="eastAsia" w:ascii="仿宋_GB2312" w:eastAsia="仿宋_GB2312" w:hAnsiTheme="minorHAnsi" w:cstheme="minorBidi"/>
          <w:kern w:val="2"/>
          <w:sz w:val="32"/>
          <w:szCs w:val="32"/>
        </w:rPr>
        <w:t>附件5：</w:t>
      </w:r>
      <w:r>
        <w:rPr>
          <w:rFonts w:hint="eastAsia" w:ascii="仿宋_GB2312" w:eastAsia="仿宋_GB2312"/>
          <w:sz w:val="32"/>
          <w:szCs w:val="32"/>
        </w:rPr>
        <w:t>各校参加**省赛团队数量表</w:t>
      </w:r>
    </w:p>
    <w:p>
      <w:pPr>
        <w:pStyle w:val="6"/>
        <w:shd w:val="clear" w:color="auto" w:fill="FFFFFF"/>
        <w:spacing w:before="0" w:beforeAutospacing="0" w:after="0" w:afterAutospacing="0" w:line="360" w:lineRule="exact"/>
        <w:ind w:firstLine="140" w:firstLineChars="44"/>
        <w:rPr>
          <w:rFonts w:ascii="仿宋" w:hAnsi="仿宋" w:eastAsia="仿宋" w:cs="仿宋"/>
          <w:kern w:val="2"/>
          <w:sz w:val="32"/>
          <w:szCs w:val="32"/>
        </w:rPr>
      </w:pPr>
      <w:r>
        <w:rPr>
          <w:rFonts w:hint="eastAsia" w:ascii="仿宋_GB2312" w:eastAsia="仿宋_GB2312"/>
          <w:sz w:val="32"/>
          <w:szCs w:val="32"/>
        </w:rPr>
        <w:t>附件6：参赛报名表</w:t>
      </w:r>
    </w:p>
    <w:p>
      <w:pPr>
        <w:pStyle w:val="6"/>
        <w:shd w:val="clear" w:color="auto" w:fill="FFFFFF"/>
        <w:spacing w:before="0" w:beforeAutospacing="0" w:after="0" w:afterAutospacing="0" w:line="480" w:lineRule="exact"/>
        <w:ind w:firstLine="140" w:firstLineChars="44"/>
        <w:rPr>
          <w:rFonts w:ascii="仿宋_GB2312" w:eastAsia="仿宋_GB2312" w:hAnsiTheme="minorHAnsi" w:cstheme="minorBidi"/>
          <w:kern w:val="2"/>
          <w:sz w:val="32"/>
          <w:szCs w:val="32"/>
        </w:rPr>
      </w:pPr>
    </w:p>
    <w:p>
      <w:pPr>
        <w:pStyle w:val="6"/>
        <w:shd w:val="clear" w:color="auto" w:fill="FFFFFF"/>
        <w:spacing w:before="0" w:beforeAutospacing="0" w:after="0" w:afterAutospacing="0" w:line="315" w:lineRule="atLeast"/>
        <w:jc w:val="right"/>
        <w:rPr>
          <w:rFonts w:ascii="仿宋_GB2312" w:eastAsia="仿宋_GB2312" w:hAnsiTheme="minorHAnsi" w:cstheme="minorBidi"/>
          <w:kern w:val="2"/>
          <w:sz w:val="32"/>
          <w:szCs w:val="32"/>
        </w:rPr>
      </w:pPr>
    </w:p>
    <w:p>
      <w:pPr>
        <w:pStyle w:val="6"/>
        <w:shd w:val="clear" w:color="auto" w:fill="FFFFFF"/>
        <w:spacing w:before="0" w:beforeAutospacing="0" w:after="0" w:afterAutospacing="0" w:line="315" w:lineRule="atLeast"/>
        <w:jc w:val="right"/>
        <w:rPr>
          <w:rFonts w:ascii="仿宋_GB2312" w:eastAsia="仿宋_GB2312" w:hAnsiTheme="minorHAnsi" w:cstheme="minorBidi"/>
          <w:kern w:val="2"/>
          <w:sz w:val="32"/>
          <w:szCs w:val="32"/>
        </w:rPr>
      </w:pPr>
      <w:r>
        <w:rPr>
          <w:rFonts w:hint="eastAsia" w:ascii="仿宋_GB2312" w:eastAsia="仿宋_GB2312" w:hAnsiTheme="minorHAnsi" w:cstheme="minorBidi"/>
          <w:kern w:val="2"/>
          <w:sz w:val="32"/>
          <w:szCs w:val="32"/>
        </w:rPr>
        <w:t>***省分赛区组委会</w:t>
      </w:r>
    </w:p>
    <w:p>
      <w:pPr>
        <w:widowControl/>
        <w:shd w:val="clear" w:color="auto" w:fill="FFFFFF"/>
        <w:wordWrap w:val="0"/>
        <w:spacing w:line="315" w:lineRule="atLeast"/>
        <w:jc w:val="right"/>
        <w:rPr>
          <w:rFonts w:ascii="仿宋" w:hAnsi="仿宋" w:eastAsia="仿宋" w:cs="仿宋"/>
          <w:sz w:val="32"/>
          <w:szCs w:val="32"/>
        </w:rPr>
      </w:pPr>
      <w:r>
        <w:rPr>
          <w:rFonts w:hint="eastAsia" w:ascii="仿宋" w:hAnsi="仿宋" w:eastAsia="仿宋" w:cs="仿宋"/>
          <w:sz w:val="32"/>
          <w:szCs w:val="32"/>
        </w:rPr>
        <w:t>二○二二年  月  日</w:t>
      </w:r>
    </w:p>
    <w:p>
      <w:pPr>
        <w:pStyle w:val="6"/>
        <w:shd w:val="clear" w:color="auto" w:fill="FFFFFF"/>
        <w:wordWrap w:val="0"/>
        <w:spacing w:before="0" w:beforeAutospacing="0" w:after="0" w:afterAutospacing="0" w:line="315" w:lineRule="atLeast"/>
        <w:jc w:val="right"/>
        <w:rPr>
          <w:rFonts w:ascii="仿宋_GB2312" w:eastAsia="仿宋_GB2312" w:hAnsiTheme="minorHAnsi" w:cstheme="minorBidi"/>
          <w:kern w:val="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686"/>
    <w:rsid w:val="000115FC"/>
    <w:rsid w:val="000137FC"/>
    <w:rsid w:val="000219E3"/>
    <w:rsid w:val="00040385"/>
    <w:rsid w:val="00057265"/>
    <w:rsid w:val="000713FC"/>
    <w:rsid w:val="00097046"/>
    <w:rsid w:val="000E5511"/>
    <w:rsid w:val="00106F3A"/>
    <w:rsid w:val="00112B73"/>
    <w:rsid w:val="00120302"/>
    <w:rsid w:val="00126FA5"/>
    <w:rsid w:val="001304A5"/>
    <w:rsid w:val="00182074"/>
    <w:rsid w:val="00187D87"/>
    <w:rsid w:val="00202BD5"/>
    <w:rsid w:val="002132A6"/>
    <w:rsid w:val="00252FD0"/>
    <w:rsid w:val="00267F7B"/>
    <w:rsid w:val="00285706"/>
    <w:rsid w:val="0029154F"/>
    <w:rsid w:val="002F170D"/>
    <w:rsid w:val="003477EC"/>
    <w:rsid w:val="003523AA"/>
    <w:rsid w:val="0037396D"/>
    <w:rsid w:val="00376CFB"/>
    <w:rsid w:val="003B05E3"/>
    <w:rsid w:val="003D2411"/>
    <w:rsid w:val="003E5474"/>
    <w:rsid w:val="00421049"/>
    <w:rsid w:val="00453A27"/>
    <w:rsid w:val="00496B0D"/>
    <w:rsid w:val="004C0280"/>
    <w:rsid w:val="004C247F"/>
    <w:rsid w:val="004D7C74"/>
    <w:rsid w:val="004E6738"/>
    <w:rsid w:val="00500706"/>
    <w:rsid w:val="00515435"/>
    <w:rsid w:val="00531956"/>
    <w:rsid w:val="005439E7"/>
    <w:rsid w:val="00574D3A"/>
    <w:rsid w:val="0059030A"/>
    <w:rsid w:val="005B3400"/>
    <w:rsid w:val="005F34A5"/>
    <w:rsid w:val="005F7E77"/>
    <w:rsid w:val="00602127"/>
    <w:rsid w:val="00621A5E"/>
    <w:rsid w:val="00624932"/>
    <w:rsid w:val="00640DD2"/>
    <w:rsid w:val="00662046"/>
    <w:rsid w:val="0069264F"/>
    <w:rsid w:val="0069620A"/>
    <w:rsid w:val="006B0D1E"/>
    <w:rsid w:val="006C2EA0"/>
    <w:rsid w:val="006C3CFB"/>
    <w:rsid w:val="00710FB0"/>
    <w:rsid w:val="00740C4C"/>
    <w:rsid w:val="007877AC"/>
    <w:rsid w:val="007F6235"/>
    <w:rsid w:val="00813B21"/>
    <w:rsid w:val="00845D90"/>
    <w:rsid w:val="00873349"/>
    <w:rsid w:val="008A3050"/>
    <w:rsid w:val="008A582D"/>
    <w:rsid w:val="008D173A"/>
    <w:rsid w:val="008D3386"/>
    <w:rsid w:val="008D5E2D"/>
    <w:rsid w:val="008E28DD"/>
    <w:rsid w:val="008E590C"/>
    <w:rsid w:val="00943169"/>
    <w:rsid w:val="00961562"/>
    <w:rsid w:val="009A1910"/>
    <w:rsid w:val="009B4BB3"/>
    <w:rsid w:val="009C4769"/>
    <w:rsid w:val="009F1686"/>
    <w:rsid w:val="00A00217"/>
    <w:rsid w:val="00A21A4A"/>
    <w:rsid w:val="00A50578"/>
    <w:rsid w:val="00A64F01"/>
    <w:rsid w:val="00A672E5"/>
    <w:rsid w:val="00A9492E"/>
    <w:rsid w:val="00AA0957"/>
    <w:rsid w:val="00AB6845"/>
    <w:rsid w:val="00AC0403"/>
    <w:rsid w:val="00AC7F40"/>
    <w:rsid w:val="00AD6C7E"/>
    <w:rsid w:val="00AF5FCD"/>
    <w:rsid w:val="00B308E7"/>
    <w:rsid w:val="00B541BD"/>
    <w:rsid w:val="00B759EE"/>
    <w:rsid w:val="00B93ABA"/>
    <w:rsid w:val="00BA07F0"/>
    <w:rsid w:val="00BA2CA6"/>
    <w:rsid w:val="00BB02CB"/>
    <w:rsid w:val="00BE54AD"/>
    <w:rsid w:val="00C11BD9"/>
    <w:rsid w:val="00C13B5C"/>
    <w:rsid w:val="00C13C33"/>
    <w:rsid w:val="00C2414C"/>
    <w:rsid w:val="00C36258"/>
    <w:rsid w:val="00C566E4"/>
    <w:rsid w:val="00C62EB0"/>
    <w:rsid w:val="00C6551E"/>
    <w:rsid w:val="00CA00E5"/>
    <w:rsid w:val="00CA58B1"/>
    <w:rsid w:val="00CF7040"/>
    <w:rsid w:val="00D059DE"/>
    <w:rsid w:val="00D22106"/>
    <w:rsid w:val="00D430A3"/>
    <w:rsid w:val="00DD0602"/>
    <w:rsid w:val="00E01886"/>
    <w:rsid w:val="00E24E55"/>
    <w:rsid w:val="00E44AED"/>
    <w:rsid w:val="00E536B1"/>
    <w:rsid w:val="00E571A1"/>
    <w:rsid w:val="00E81974"/>
    <w:rsid w:val="00E86092"/>
    <w:rsid w:val="00E96663"/>
    <w:rsid w:val="00EA617C"/>
    <w:rsid w:val="00EB638A"/>
    <w:rsid w:val="00F4777D"/>
    <w:rsid w:val="00F547A2"/>
    <w:rsid w:val="00F77EE2"/>
    <w:rsid w:val="00F84310"/>
    <w:rsid w:val="00F97D21"/>
    <w:rsid w:val="04613D8F"/>
    <w:rsid w:val="1BA51B14"/>
    <w:rsid w:val="2D8C4350"/>
    <w:rsid w:val="58FD0B76"/>
    <w:rsid w:val="6C8805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semiHidden/>
    <w:unhideWhenUsed/>
    <w:uiPriority w:val="99"/>
    <w:pPr>
      <w:jc w:val="left"/>
    </w:pPr>
  </w:style>
  <w:style w:type="paragraph" w:styleId="3">
    <w:name w:val="Balloon Text"/>
    <w:basedOn w:val="1"/>
    <w:link w:val="17"/>
    <w:semiHidden/>
    <w:unhideWhenUsed/>
    <w:uiPriority w:val="99"/>
    <w:rPr>
      <w:sz w:val="18"/>
      <w:szCs w:val="18"/>
    </w:rPr>
  </w:style>
  <w:style w:type="paragraph" w:styleId="4">
    <w:name w:val="footer"/>
    <w:basedOn w:val="1"/>
    <w:link w:val="20"/>
    <w:unhideWhenUsed/>
    <w:qFormat/>
    <w:uiPriority w:val="99"/>
    <w:pPr>
      <w:tabs>
        <w:tab w:val="center" w:pos="4153"/>
        <w:tab w:val="right" w:pos="8306"/>
      </w:tabs>
      <w:snapToGrid w:val="0"/>
      <w:jc w:val="left"/>
    </w:pPr>
    <w:rPr>
      <w:sz w:val="18"/>
      <w:szCs w:val="18"/>
    </w:rPr>
  </w:style>
  <w:style w:type="paragraph" w:styleId="5">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6"/>
    <w:semiHidden/>
    <w:unhideWhenUsed/>
    <w:uiPriority w:val="99"/>
    <w:rPr>
      <w:b/>
      <w:bCs/>
    </w:rPr>
  </w:style>
  <w:style w:type="character" w:styleId="10">
    <w:name w:val="Strong"/>
    <w:basedOn w:val="9"/>
    <w:qFormat/>
    <w:uiPriority w:val="22"/>
    <w:rPr>
      <w:b/>
      <w:bCs/>
    </w:rPr>
  </w:style>
  <w:style w:type="character" w:styleId="11">
    <w:name w:val="Hyperlink"/>
    <w:basedOn w:val="9"/>
    <w:unhideWhenUsed/>
    <w:qFormat/>
    <w:uiPriority w:val="99"/>
    <w:rPr>
      <w:color w:val="0000FF"/>
      <w:u w:val="single"/>
    </w:rPr>
  </w:style>
  <w:style w:type="character" w:styleId="12">
    <w:name w:val="annotation reference"/>
    <w:basedOn w:val="9"/>
    <w:semiHidden/>
    <w:unhideWhenUsed/>
    <w:uiPriority w:val="99"/>
    <w:rPr>
      <w:sz w:val="21"/>
      <w:szCs w:val="21"/>
    </w:rPr>
  </w:style>
  <w:style w:type="paragraph" w:styleId="13">
    <w:name w:val="List Paragraph"/>
    <w:basedOn w:val="1"/>
    <w:qFormat/>
    <w:uiPriority w:val="34"/>
    <w:pPr>
      <w:ind w:firstLine="420" w:firstLineChars="200"/>
    </w:pPr>
    <w:rPr>
      <w:rFonts w:ascii="Calibri" w:hAnsi="Calibri" w:eastAsia="宋体" w:cs="Times New Roman"/>
    </w:rPr>
  </w:style>
  <w:style w:type="paragraph" w:customStyle="1" w:styleId="14">
    <w:name w:val="p0"/>
    <w:basedOn w:val="1"/>
    <w:qFormat/>
    <w:uiPriority w:val="0"/>
    <w:pPr>
      <w:widowControl/>
    </w:pPr>
    <w:rPr>
      <w:rFonts w:ascii="Times New Roman" w:hAnsi="Times New Roman" w:eastAsia="宋体" w:cs="Times New Roman"/>
      <w:kern w:val="0"/>
      <w:szCs w:val="21"/>
    </w:rPr>
  </w:style>
  <w:style w:type="character" w:customStyle="1" w:styleId="15">
    <w:name w:val="批注文字 Char"/>
    <w:basedOn w:val="9"/>
    <w:link w:val="2"/>
    <w:semiHidden/>
    <w:uiPriority w:val="99"/>
  </w:style>
  <w:style w:type="character" w:customStyle="1" w:styleId="16">
    <w:name w:val="批注主题 Char"/>
    <w:basedOn w:val="15"/>
    <w:link w:val="7"/>
    <w:semiHidden/>
    <w:qFormat/>
    <w:uiPriority w:val="99"/>
    <w:rPr>
      <w:b/>
      <w:bCs/>
    </w:rPr>
  </w:style>
  <w:style w:type="character" w:customStyle="1" w:styleId="17">
    <w:name w:val="批注框文本 Char"/>
    <w:basedOn w:val="9"/>
    <w:link w:val="3"/>
    <w:semiHidden/>
    <w:uiPriority w:val="99"/>
    <w:rPr>
      <w:sz w:val="18"/>
      <w:szCs w:val="18"/>
    </w:rPr>
  </w:style>
  <w:style w:type="paragraph" w:customStyle="1" w:styleId="18">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9">
    <w:name w:val="页眉 Char"/>
    <w:basedOn w:val="9"/>
    <w:link w:val="5"/>
    <w:uiPriority w:val="99"/>
    <w:rPr>
      <w:sz w:val="18"/>
      <w:szCs w:val="18"/>
    </w:rPr>
  </w:style>
  <w:style w:type="character" w:customStyle="1" w:styleId="20">
    <w:name w:val="页脚 Char"/>
    <w:basedOn w:val="9"/>
    <w:link w:val="4"/>
    <w:qFormat/>
    <w:uiPriority w:val="99"/>
    <w:rPr>
      <w:sz w:val="18"/>
      <w:szCs w:val="18"/>
    </w:rPr>
  </w:style>
  <w:style w:type="paragraph" w:customStyle="1" w:styleId="21">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OEM</Company>
  <Pages>4</Pages>
  <Words>1531</Words>
  <Characters>1606</Characters>
  <Lines>11</Lines>
  <Paragraphs>3</Paragraphs>
  <TotalTime>47</TotalTime>
  <ScaleCrop>false</ScaleCrop>
  <LinksUpToDate>false</LinksUpToDate>
  <CharactersWithSpaces>1618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2022-03-16T07:27:00Z</dcterms:created>
  <dc:creator>OEM</dc:creator>
  <cp:lastModifiedBy>ùúûü</cp:lastModifiedBy>
  <cp:lastPrinted>2021-04-02T08:40:00Z</cp:lastPrinted>
  <dcterms:modified xsi:type="dcterms:W3CDTF">2022-03-18T02:01:20Z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E2B6C18E42104B1BBE76CB5DAD9B5642</vt:lpwstr>
  </property>
</Properties>
</file>