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315" w:lineRule="atLeast"/>
        <w:rPr>
          <w:rStyle w:val="10"/>
          <w:rFonts w:ascii="黑体" w:hAnsi="黑体" w:eastAsia="微软雅黑"/>
          <w:color w:val="666666"/>
          <w:sz w:val="28"/>
          <w:szCs w:val="28"/>
        </w:rPr>
      </w:pPr>
      <w:r>
        <w:rPr>
          <w:rStyle w:val="10"/>
          <w:rFonts w:hint="eastAsia" w:ascii="黑体" w:hAnsi="黑体" w:eastAsia="微软雅黑"/>
          <w:color w:val="666666"/>
          <w:sz w:val="28"/>
          <w:szCs w:val="28"/>
          <w:highlight w:val="yellow"/>
        </w:rPr>
        <w:t>此通知适用：</w:t>
      </w:r>
      <w:r>
        <w:rPr>
          <w:rStyle w:val="10"/>
          <w:rFonts w:hint="eastAsia" w:ascii="黑体" w:hAnsi="黑体" w:eastAsia="微软雅黑"/>
          <w:color w:val="666666"/>
          <w:sz w:val="28"/>
          <w:szCs w:val="28"/>
        </w:rPr>
        <w:t>报告评审＋部分</w:t>
      </w:r>
      <w:r>
        <w:rPr>
          <w:rStyle w:val="10"/>
          <w:rFonts w:hint="eastAsia" w:ascii="黑体" w:hAnsi="黑体" w:eastAsia="微软雅黑"/>
          <w:color w:val="FF0000"/>
          <w:sz w:val="28"/>
          <w:szCs w:val="28"/>
        </w:rPr>
        <w:t>线下</w:t>
      </w:r>
      <w:r>
        <w:rPr>
          <w:rStyle w:val="10"/>
          <w:rFonts w:hint="eastAsia" w:ascii="黑体" w:hAnsi="黑体" w:eastAsia="微软雅黑"/>
          <w:color w:val="666666"/>
          <w:sz w:val="28"/>
          <w:szCs w:val="28"/>
        </w:rPr>
        <w:t>展示答辨</w:t>
      </w:r>
    </w:p>
    <w:p>
      <w:pPr>
        <w:pStyle w:val="6"/>
        <w:shd w:val="clear" w:color="auto" w:fill="FFFFFF"/>
        <w:spacing w:before="0" w:beforeAutospacing="0" w:after="0" w:afterAutospacing="0" w:line="315" w:lineRule="atLeast"/>
        <w:jc w:val="center"/>
        <w:rPr>
          <w:rStyle w:val="10"/>
          <w:rFonts w:ascii="仿宋" w:hAnsi="仿宋" w:eastAsia="仿宋" w:cs="仿宋"/>
          <w:color w:val="666666"/>
          <w:sz w:val="21"/>
          <w:szCs w:val="21"/>
        </w:rPr>
      </w:pPr>
    </w:p>
    <w:p>
      <w:pPr>
        <w:pStyle w:val="6"/>
        <w:shd w:val="clear" w:color="auto" w:fill="FFFFFF"/>
        <w:spacing w:before="0" w:beforeAutospacing="0" w:after="0" w:afterAutospacing="0" w:line="315" w:lineRule="atLeast"/>
        <w:jc w:val="center"/>
        <w:rPr>
          <w:rStyle w:val="10"/>
          <w:rFonts w:ascii="仿宋" w:hAnsi="仿宋" w:eastAsia="仿宋" w:cs="仿宋"/>
          <w:color w:val="666666"/>
          <w:sz w:val="21"/>
          <w:szCs w:val="21"/>
        </w:rPr>
      </w:pPr>
    </w:p>
    <w:p>
      <w:pPr>
        <w:spacing w:line="360" w:lineRule="auto"/>
        <w:jc w:val="center"/>
        <w:rPr>
          <w:rFonts w:ascii="仿宋" w:hAnsi="仿宋" w:eastAsia="仿宋" w:cs="仿宋"/>
          <w:b/>
          <w:sz w:val="36"/>
          <w:szCs w:val="36"/>
        </w:rPr>
      </w:pPr>
      <w:r>
        <w:rPr>
          <w:rFonts w:hint="eastAsia" w:ascii="仿宋" w:hAnsi="仿宋" w:eastAsia="仿宋" w:cs="仿宋"/>
          <w:b/>
          <w:sz w:val="36"/>
          <w:szCs w:val="36"/>
        </w:rPr>
        <w:t>关于组织实施“正大杯”第十二届全国大学生</w:t>
      </w:r>
    </w:p>
    <w:p>
      <w:pPr>
        <w:spacing w:line="360" w:lineRule="auto"/>
        <w:jc w:val="center"/>
        <w:rPr>
          <w:rFonts w:ascii="仿宋" w:hAnsi="仿宋" w:eastAsia="仿宋" w:cs="仿宋"/>
          <w:b/>
          <w:sz w:val="36"/>
          <w:szCs w:val="36"/>
        </w:rPr>
      </w:pPr>
      <w:r>
        <w:rPr>
          <w:rFonts w:hint="eastAsia" w:ascii="仿宋" w:hAnsi="仿宋" w:eastAsia="仿宋" w:cs="仿宋"/>
          <w:b/>
          <w:sz w:val="36"/>
          <w:szCs w:val="36"/>
        </w:rPr>
        <w:t>市场调查与分析大赛**省本科组选拔赛的通知</w:t>
      </w:r>
    </w:p>
    <w:p>
      <w:pPr>
        <w:pStyle w:val="6"/>
        <w:shd w:val="clear" w:color="auto" w:fill="FFFFFF"/>
        <w:spacing w:before="0" w:beforeAutospacing="0" w:after="0" w:afterAutospacing="0"/>
        <w:rPr>
          <w:rFonts w:ascii="仿宋" w:hAnsi="仿宋" w:eastAsia="仿宋" w:cs="仿宋"/>
          <w:color w:val="000000"/>
          <w:sz w:val="21"/>
          <w:szCs w:val="21"/>
        </w:rPr>
      </w:pPr>
    </w:p>
    <w:p>
      <w:pPr>
        <w:spacing w:before="240" w:line="460" w:lineRule="exact"/>
        <w:rPr>
          <w:rFonts w:ascii="仿宋" w:hAnsi="仿宋" w:eastAsia="仿宋" w:cs="仿宋"/>
          <w:sz w:val="32"/>
          <w:szCs w:val="32"/>
        </w:rPr>
      </w:pPr>
      <w:r>
        <w:rPr>
          <w:rFonts w:hint="eastAsia" w:ascii="仿宋" w:hAnsi="仿宋" w:eastAsia="仿宋" w:cs="仿宋"/>
          <w:sz w:val="32"/>
          <w:szCs w:val="32"/>
        </w:rPr>
        <w:t>各有关参赛院校：</w:t>
      </w:r>
    </w:p>
    <w:p>
      <w:pPr>
        <w:spacing w:before="240" w:line="480" w:lineRule="exact"/>
        <w:ind w:firstLine="640" w:firstLineChars="200"/>
        <w:rPr>
          <w:rFonts w:ascii="仿宋" w:hAnsi="仿宋" w:eastAsia="仿宋" w:cs="仿宋"/>
          <w:sz w:val="32"/>
          <w:szCs w:val="32"/>
        </w:rPr>
      </w:pPr>
      <w:r>
        <w:rPr>
          <w:rFonts w:hint="eastAsia" w:ascii="仿宋" w:hAnsi="仿宋" w:eastAsia="仿宋" w:cs="仿宋"/>
          <w:sz w:val="32"/>
          <w:szCs w:val="32"/>
        </w:rPr>
        <w:t>由中国商业统计学会主办的“正大杯第十二届全国大学生市场调查与分析大赛**省本科组选拔赛”由*****大学承办。根据大赛组委会《关于组织实施“正大杯”第十二届全国大学生市场调查与分析大赛实践赛的通知》</w:t>
      </w:r>
      <w:r>
        <w:rPr>
          <w:rFonts w:hint="eastAsia" w:ascii="仿宋" w:hAnsi="仿宋" w:eastAsia="仿宋"/>
          <w:sz w:val="32"/>
          <w:szCs w:val="32"/>
        </w:rPr>
        <w:t>（中商统[2021]22号）</w:t>
      </w:r>
      <w:r>
        <w:rPr>
          <w:rFonts w:hint="eastAsia" w:ascii="仿宋" w:hAnsi="仿宋" w:eastAsia="仿宋" w:cs="仿宋"/>
          <w:sz w:val="32"/>
          <w:szCs w:val="32"/>
        </w:rPr>
        <w:t>，综合本赛区疫情防控要求和赛区内参赛校意见，**省本科组选拔</w:t>
      </w:r>
      <w:r>
        <w:rPr>
          <w:rFonts w:hint="eastAsia" w:ascii="仿宋" w:hAnsi="仿宋" w:eastAsia="仿宋"/>
          <w:sz w:val="32"/>
          <w:szCs w:val="32"/>
        </w:rPr>
        <w:t>赛确定以</w:t>
      </w:r>
      <w:r>
        <w:rPr>
          <w:rFonts w:hint="eastAsia" w:ascii="仿宋" w:hAnsi="仿宋" w:eastAsia="仿宋"/>
          <w:b/>
          <w:color w:val="FF0000"/>
          <w:sz w:val="32"/>
          <w:szCs w:val="32"/>
        </w:rPr>
        <w:t>线上线下</w:t>
      </w:r>
      <w:r>
        <w:rPr>
          <w:rFonts w:hint="eastAsia" w:ascii="仿宋" w:hAnsi="仿宋" w:eastAsia="仿宋"/>
          <w:sz w:val="32"/>
          <w:szCs w:val="32"/>
        </w:rPr>
        <w:t>结合方式举办。</w:t>
      </w:r>
      <w:r>
        <w:rPr>
          <w:rFonts w:hint="eastAsia" w:ascii="仿宋" w:hAnsi="仿宋" w:eastAsia="仿宋" w:cs="仿宋"/>
          <w:sz w:val="32"/>
          <w:szCs w:val="32"/>
        </w:rPr>
        <w:t>现将**省选拔赛组织实施的有关事宜通知如下：</w:t>
      </w:r>
    </w:p>
    <w:p>
      <w:pPr>
        <w:numPr>
          <w:ilvl w:val="0"/>
          <w:numId w:val="1"/>
        </w:numPr>
        <w:spacing w:before="240" w:line="480" w:lineRule="exact"/>
        <w:ind w:firstLine="723" w:firstLineChars="225"/>
        <w:rPr>
          <w:rFonts w:ascii="仿宋" w:hAnsi="仿宋" w:eastAsia="仿宋" w:cs="仿宋"/>
          <w:sz w:val="32"/>
          <w:szCs w:val="32"/>
        </w:rPr>
      </w:pPr>
      <w:r>
        <w:rPr>
          <w:rFonts w:hint="eastAsia" w:ascii="仿宋" w:hAnsi="仿宋" w:eastAsia="仿宋" w:cs="仿宋"/>
          <w:b/>
          <w:sz w:val="32"/>
          <w:szCs w:val="32"/>
        </w:rPr>
        <w:t>赛事安排</w:t>
      </w:r>
      <w:r>
        <w:rPr>
          <w:rFonts w:hint="eastAsia" w:ascii="仿宋" w:hAnsi="仿宋" w:eastAsia="仿宋" w:cs="仿宋"/>
          <w:b/>
          <w:sz w:val="32"/>
          <w:szCs w:val="32"/>
          <w:highlight w:val="yellow"/>
        </w:rPr>
        <w:t>（</w:t>
      </w:r>
      <w:r>
        <w:rPr>
          <w:rFonts w:hint="eastAsia" w:ascii="仿宋" w:hAnsi="仿宋" w:eastAsia="仿宋" w:cs="仿宋"/>
          <w:sz w:val="32"/>
          <w:szCs w:val="32"/>
          <w:highlight w:val="yellow"/>
        </w:rPr>
        <w:t>各赛区可根据实际情况安排</w:t>
      </w:r>
      <w:r>
        <w:rPr>
          <w:rFonts w:hint="eastAsia" w:ascii="仿宋" w:hAnsi="仿宋" w:eastAsia="仿宋" w:cs="仿宋"/>
          <w:b/>
          <w:sz w:val="32"/>
          <w:szCs w:val="32"/>
          <w:highlight w:val="yellow"/>
        </w:rPr>
        <w:t>）</w:t>
      </w:r>
    </w:p>
    <w:p>
      <w:pPr>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省赛采取</w:t>
      </w:r>
      <w:r>
        <w:rPr>
          <w:rFonts w:hint="eastAsia" w:ascii="仿宋" w:hAnsi="仿宋" w:eastAsia="仿宋" w:cs="仿宋"/>
          <w:b/>
          <w:color w:val="FF0000"/>
          <w:sz w:val="32"/>
          <w:szCs w:val="32"/>
        </w:rPr>
        <w:t>报告评审+部分线下</w:t>
      </w:r>
      <w:r>
        <w:rPr>
          <w:rFonts w:hint="eastAsia" w:ascii="仿宋" w:hAnsi="仿宋" w:eastAsia="仿宋" w:cs="仿宋"/>
          <w:sz w:val="32"/>
          <w:szCs w:val="32"/>
        </w:rPr>
        <w:t>展示答辩相结合的竞赛方式，具体安排如下：</w:t>
      </w:r>
    </w:p>
    <w:p>
      <w:pPr>
        <w:spacing w:before="156" w:beforeLines="50" w:line="460" w:lineRule="exact"/>
        <w:ind w:firstLine="643" w:firstLineChars="200"/>
        <w:rPr>
          <w:rFonts w:ascii="仿宋" w:hAnsi="仿宋" w:eastAsia="仿宋" w:cs="仿宋"/>
          <w:sz w:val="32"/>
          <w:szCs w:val="32"/>
        </w:rPr>
      </w:pPr>
      <w:r>
        <w:rPr>
          <w:rFonts w:hint="eastAsia" w:ascii="仿宋" w:hAnsi="仿宋" w:eastAsia="仿宋" w:cs="仿宋"/>
          <w:b/>
          <w:sz w:val="32"/>
          <w:szCs w:val="32"/>
        </w:rPr>
        <w:t>报告评审：</w:t>
      </w:r>
      <w:r>
        <w:rPr>
          <w:rFonts w:hint="eastAsia" w:ascii="仿宋" w:hAnsi="仿宋" w:eastAsia="仿宋" w:cs="仿宋"/>
          <w:sz w:val="32"/>
          <w:szCs w:val="32"/>
        </w:rPr>
        <w:t>各校于4月  日前向省赛组委会提交团队竞赛资料，包括：1-3万字的调查分析报告（附件1：报告排版格式要求）、</w:t>
      </w:r>
      <w:r>
        <w:rPr>
          <w:rFonts w:hint="eastAsia" w:ascii="仿宋" w:hAnsi="仿宋" w:eastAsia="仿宋"/>
          <w:sz w:val="32"/>
          <w:szCs w:val="32"/>
        </w:rPr>
        <w:t>2000字以内的摘要、</w:t>
      </w:r>
      <w:r>
        <w:rPr>
          <w:rFonts w:hint="eastAsia" w:ascii="仿宋" w:hAnsi="仿宋" w:eastAsia="仿宋" w:cs="仿宋"/>
          <w:sz w:val="32"/>
          <w:szCs w:val="32"/>
        </w:rPr>
        <w:t>作品信息表（附件2）、参赛承诺书（附件3）等竞赛资料，由省赛组委会组织专家按大赛组委会制定的评分标准（附件4）进行报告盲评，选拔晋级线下答辩团队。评审结果于4月  日前公布。</w:t>
      </w:r>
    </w:p>
    <w:p>
      <w:pPr>
        <w:spacing w:before="156" w:beforeLines="50" w:line="460" w:lineRule="exact"/>
        <w:ind w:firstLine="643" w:firstLineChars="200"/>
        <w:rPr>
          <w:rFonts w:ascii="仿宋" w:hAnsi="仿宋" w:eastAsia="仿宋" w:cs="仿宋"/>
          <w:bCs/>
          <w:sz w:val="32"/>
          <w:szCs w:val="32"/>
        </w:rPr>
      </w:pPr>
      <w:r>
        <w:rPr>
          <w:rFonts w:hint="eastAsia" w:ascii="仿宋" w:hAnsi="仿宋" w:eastAsia="仿宋" w:cs="仿宋"/>
          <w:b/>
          <w:sz w:val="32"/>
          <w:szCs w:val="32"/>
        </w:rPr>
        <w:t>线下展示答辩：</w:t>
      </w:r>
      <w:r>
        <w:rPr>
          <w:rFonts w:hint="eastAsia" w:ascii="仿宋" w:hAnsi="仿宋" w:eastAsia="仿宋" w:cs="仿宋"/>
          <w:bCs/>
          <w:sz w:val="32"/>
          <w:szCs w:val="32"/>
        </w:rPr>
        <w:t>4月 日报到（具体时间）；赛前辅导及比赛场次抽签。4月  日，开幕式、分组赛。4月 日决赛及颁奖。竞赛方式：报告陈述展示10分钟，答辩5分钟。</w:t>
      </w:r>
    </w:p>
    <w:p>
      <w:pPr>
        <w:spacing w:line="460" w:lineRule="exact"/>
        <w:ind w:firstLine="627" w:firstLineChars="196"/>
        <w:rPr>
          <w:rFonts w:ascii="仿宋" w:hAnsi="仿宋" w:eastAsia="仿宋" w:cs="仿宋"/>
          <w:sz w:val="32"/>
          <w:szCs w:val="32"/>
        </w:rPr>
      </w:pPr>
    </w:p>
    <w:p>
      <w:pPr>
        <w:spacing w:line="460" w:lineRule="exact"/>
        <w:ind w:firstLine="627" w:firstLineChars="196"/>
        <w:rPr>
          <w:rFonts w:ascii="仿宋" w:hAnsi="仿宋" w:eastAsia="仿宋" w:cs="仿宋"/>
          <w:sz w:val="32"/>
          <w:szCs w:val="32"/>
        </w:rPr>
      </w:pPr>
      <w:r>
        <w:rPr>
          <w:rFonts w:hint="eastAsia" w:ascii="仿宋" w:hAnsi="仿宋" w:eastAsia="仿宋" w:cs="仿宋"/>
          <w:sz w:val="32"/>
          <w:szCs w:val="32"/>
        </w:rPr>
        <w:t>注：参加线下答辩的团队需要携带5份1万字-3万字的调查分析报告，于比赛时提交给评委。</w:t>
      </w:r>
    </w:p>
    <w:p>
      <w:pPr>
        <w:spacing w:before="24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二、参赛对象</w:t>
      </w:r>
    </w:p>
    <w:p>
      <w:pPr>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校赛胜出，晋级省赛团队。每个团队由3-5名知识赛网考通过的</w:t>
      </w:r>
      <w:r>
        <w:rPr>
          <w:rFonts w:hint="eastAsia" w:ascii="仿宋" w:hAnsi="仿宋" w:eastAsia="仿宋" w:cs="仿宋"/>
          <w:b/>
          <w:color w:val="FF0000"/>
          <w:sz w:val="32"/>
          <w:szCs w:val="32"/>
        </w:rPr>
        <w:t>本科</w:t>
      </w:r>
      <w:r>
        <w:rPr>
          <w:rFonts w:hint="eastAsia" w:ascii="仿宋" w:hAnsi="仿宋" w:eastAsia="仿宋" w:cs="仿宋"/>
          <w:bCs/>
          <w:color w:val="000000" w:themeColor="text1"/>
          <w:sz w:val="32"/>
          <w:szCs w:val="32"/>
          <w14:textFill>
            <w14:solidFill>
              <w14:schemeClr w14:val="tx1"/>
            </w14:solidFill>
          </w14:textFill>
        </w:rPr>
        <w:t>参赛选手</w:t>
      </w:r>
      <w:r>
        <w:rPr>
          <w:rFonts w:hint="eastAsia" w:ascii="仿宋" w:hAnsi="仿宋" w:eastAsia="仿宋" w:cs="仿宋"/>
          <w:sz w:val="32"/>
          <w:szCs w:val="32"/>
        </w:rPr>
        <w:t>组成，参赛选手不可以交叉组队，辅导教师可以辅导多支参赛队。</w:t>
      </w:r>
    </w:p>
    <w:p>
      <w:pPr>
        <w:spacing w:line="480" w:lineRule="exact"/>
        <w:ind w:firstLine="627" w:firstLineChars="196"/>
        <w:rPr>
          <w:rFonts w:ascii="仿宋" w:hAnsi="仿宋" w:eastAsia="仿宋" w:cs="仿宋"/>
          <w:sz w:val="32"/>
          <w:szCs w:val="32"/>
        </w:rPr>
      </w:pPr>
      <w:r>
        <w:rPr>
          <w:rFonts w:hint="eastAsia" w:ascii="仿宋" w:hAnsi="仿宋" w:eastAsia="仿宋" w:cs="仿宋"/>
          <w:bCs/>
          <w:color w:val="000000" w:themeColor="text1"/>
          <w:sz w:val="32"/>
          <w:szCs w:val="32"/>
          <w14:textFill>
            <w14:solidFill>
              <w14:schemeClr w14:val="tx1"/>
            </w14:solidFill>
          </w14:textFill>
        </w:rPr>
        <w:t>省赛团队要求：</w:t>
      </w:r>
      <w:r>
        <w:rPr>
          <w:rFonts w:hint="eastAsia" w:ascii="仿宋" w:hAnsi="仿宋" w:eastAsia="仿宋" w:cs="仿宋"/>
          <w:sz w:val="32"/>
          <w:szCs w:val="32"/>
        </w:rPr>
        <w:t>各参赛校推荐校赛得分靠前的团队参加省赛，推荐队数按本校</w:t>
      </w:r>
      <w:r>
        <w:rPr>
          <w:rFonts w:hint="eastAsia" w:ascii="仿宋" w:hAnsi="仿宋" w:eastAsia="仿宋" w:cs="仿宋"/>
          <w:b/>
          <w:color w:val="FF0000"/>
          <w:sz w:val="32"/>
          <w:szCs w:val="32"/>
        </w:rPr>
        <w:t>网考通过人数除以20</w:t>
      </w:r>
      <w:r>
        <w:rPr>
          <w:rFonts w:hint="eastAsia" w:ascii="仿宋" w:hAnsi="仿宋" w:eastAsia="仿宋" w:cs="仿宋"/>
          <w:sz w:val="32"/>
          <w:szCs w:val="32"/>
        </w:rPr>
        <w:t>计算，四舍五入，每个院校最多不超过15支团队（各校参加省赛团队数量见附件5）。</w:t>
      </w:r>
    </w:p>
    <w:p>
      <w:pPr>
        <w:spacing w:before="24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三、报名方式</w:t>
      </w:r>
    </w:p>
    <w:p>
      <w:pPr>
        <w:spacing w:line="480" w:lineRule="exact"/>
        <w:ind w:firstLine="707" w:firstLineChars="221"/>
        <w:rPr>
          <w:rFonts w:ascii="仿宋_GB2312" w:eastAsia="仿宋_GB2312"/>
          <w:sz w:val="32"/>
          <w:szCs w:val="32"/>
        </w:rPr>
      </w:pPr>
      <w:r>
        <w:rPr>
          <w:rFonts w:hint="eastAsia" w:ascii="仿宋_GB2312" w:eastAsia="仿宋_GB2312"/>
          <w:sz w:val="32"/>
          <w:szCs w:val="32"/>
        </w:rPr>
        <w:t>1.2022年4月  日前，由各校参赛负责人（或联系人）向省赛组委会提交参赛报名表（附件6），由省赛组委会对报名信息进行汇总确认。</w:t>
      </w:r>
    </w:p>
    <w:p>
      <w:pPr>
        <w:spacing w:line="460" w:lineRule="exact"/>
        <w:ind w:firstLine="707" w:firstLineChars="221"/>
        <w:rPr>
          <w:rFonts w:ascii="仿宋" w:hAnsi="仿宋" w:eastAsia="仿宋" w:cs="仿宋"/>
          <w:sz w:val="32"/>
          <w:szCs w:val="32"/>
        </w:rPr>
      </w:pPr>
      <w:r>
        <w:rPr>
          <w:rFonts w:hint="eastAsia" w:ascii="仿宋" w:hAnsi="仿宋" w:eastAsia="仿宋" w:cs="仿宋"/>
          <w:sz w:val="32"/>
          <w:szCs w:val="32"/>
        </w:rPr>
        <w:t>2.省赛不收取参赛费。</w:t>
      </w:r>
    </w:p>
    <w:p>
      <w:pPr>
        <w:spacing w:before="24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四、奖项设置</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1.</w:t>
      </w:r>
      <w:r>
        <w:rPr>
          <w:rFonts w:hint="eastAsia" w:ascii="仿宋" w:hAnsi="仿宋" w:eastAsia="仿宋"/>
          <w:sz w:val="32"/>
          <w:szCs w:val="32"/>
        </w:rPr>
        <w:t>依据大赛组委会公布的全国总决赛答辩队数和全国总决赛三等奖推荐队数，按照省赛排名确定晋级全国总决赛答辩的团队和推荐全国总决赛三等奖团队。</w:t>
      </w:r>
    </w:p>
    <w:p>
      <w:pPr>
        <w:spacing w:line="520" w:lineRule="exact"/>
        <w:ind w:firstLine="707" w:firstLineChars="221"/>
        <w:rPr>
          <w:rFonts w:ascii="仿宋" w:hAnsi="仿宋" w:eastAsia="仿宋"/>
          <w:sz w:val="32"/>
          <w:szCs w:val="32"/>
        </w:rPr>
      </w:pPr>
      <w:r>
        <w:rPr>
          <w:rFonts w:hint="eastAsia" w:ascii="仿宋" w:hAnsi="仿宋" w:eastAsia="仿宋"/>
          <w:sz w:val="32"/>
          <w:szCs w:val="32"/>
        </w:rPr>
        <w:t>2.省赛设置一等奖、二等奖和三等奖，比例分别为省赛队数</w:t>
      </w:r>
      <w:bookmarkStart w:id="0" w:name="_GoBack"/>
      <w:r>
        <w:rPr>
          <w:rFonts w:hint="eastAsia" w:ascii="仿宋" w:hAnsi="仿宋" w:eastAsia="仿宋"/>
          <w:sz w:val="32"/>
          <w:szCs w:val="32"/>
          <w:highlight w:val="none"/>
        </w:rPr>
        <w:t>（除去晋级国赛答辩队数和国赛三等奖推荐队数）</w:t>
      </w:r>
      <w:bookmarkEnd w:id="0"/>
      <w:r>
        <w:rPr>
          <w:rFonts w:hint="eastAsia" w:ascii="仿宋" w:hAnsi="仿宋" w:eastAsia="仿宋"/>
          <w:sz w:val="32"/>
          <w:szCs w:val="32"/>
        </w:rPr>
        <w:t>的30%、30%和40%。</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3.经全国大赛组委会核准，于全国总决赛结束后，统一颁发获奖证书。</w:t>
      </w:r>
    </w:p>
    <w:p>
      <w:pPr>
        <w:spacing w:before="24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五、联系方式</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全国大学生市场调查与分析大赛***省分赛区组委会设在***大学**学院。</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 xml:space="preserve">联系人：       </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 xml:space="preserve">手机： </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邮箱：</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p>
    <w:p>
      <w:pPr>
        <w:pStyle w:val="6"/>
        <w:shd w:val="clear" w:color="auto" w:fill="FFFFFF"/>
        <w:spacing w:before="0" w:beforeAutospacing="0" w:after="0" w:afterAutospacing="0" w:line="480" w:lineRule="exact"/>
        <w:ind w:firstLine="160" w:firstLineChars="50"/>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附件1：报告排版格式</w:t>
      </w:r>
    </w:p>
    <w:p>
      <w:pPr>
        <w:pStyle w:val="6"/>
        <w:shd w:val="clear" w:color="auto" w:fill="FFFFFF"/>
        <w:spacing w:before="0" w:beforeAutospacing="0" w:after="0" w:afterAutospacing="0" w:line="360" w:lineRule="exact"/>
        <w:ind w:firstLine="160" w:firstLineChars="50"/>
        <w:rPr>
          <w:rFonts w:ascii="仿宋" w:hAnsi="仿宋" w:eastAsia="仿宋" w:cs="仿宋"/>
          <w:sz w:val="32"/>
          <w:szCs w:val="32"/>
        </w:rPr>
      </w:pPr>
      <w:r>
        <w:rPr>
          <w:rFonts w:hint="eastAsia" w:ascii="仿宋_GB2312" w:eastAsia="仿宋_GB2312" w:hAnsiTheme="minorHAnsi" w:cstheme="minorBidi"/>
          <w:kern w:val="2"/>
          <w:sz w:val="32"/>
          <w:szCs w:val="32"/>
        </w:rPr>
        <w:t>附件2：</w:t>
      </w:r>
      <w:r>
        <w:rPr>
          <w:rFonts w:hint="eastAsia" w:ascii="仿宋" w:hAnsi="仿宋" w:eastAsia="仿宋" w:cs="仿宋"/>
          <w:kern w:val="2"/>
          <w:sz w:val="32"/>
          <w:szCs w:val="32"/>
        </w:rPr>
        <w:t>作品信息表</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hAnsiTheme="minorHAnsi" w:cstheme="minorBidi"/>
          <w:kern w:val="2"/>
          <w:sz w:val="32"/>
          <w:szCs w:val="32"/>
        </w:rPr>
        <w:t>附件3：</w:t>
      </w:r>
      <w:r>
        <w:rPr>
          <w:rFonts w:hint="eastAsia" w:ascii="仿宋" w:hAnsi="仿宋" w:eastAsia="仿宋" w:cs="仿宋"/>
          <w:kern w:val="2"/>
          <w:sz w:val="32"/>
          <w:szCs w:val="32"/>
        </w:rPr>
        <w:t>参赛承诺书</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hAnsiTheme="minorHAnsi" w:cstheme="minorBidi"/>
          <w:kern w:val="2"/>
          <w:sz w:val="32"/>
          <w:szCs w:val="32"/>
        </w:rPr>
        <w:t>附件4：</w:t>
      </w:r>
      <w:r>
        <w:rPr>
          <w:rFonts w:hint="eastAsia" w:ascii="仿宋" w:hAnsi="仿宋" w:eastAsia="仿宋" w:cs="仿宋"/>
          <w:kern w:val="2"/>
          <w:sz w:val="32"/>
          <w:szCs w:val="32"/>
        </w:rPr>
        <w:t>打分表</w:t>
      </w:r>
    </w:p>
    <w:p>
      <w:pPr>
        <w:pStyle w:val="6"/>
        <w:shd w:val="clear" w:color="auto" w:fill="FFFFFF"/>
        <w:spacing w:before="0" w:beforeAutospacing="0" w:after="0" w:afterAutospacing="0" w:line="360" w:lineRule="exact"/>
        <w:ind w:firstLine="140" w:firstLineChars="44"/>
        <w:rPr>
          <w:rFonts w:ascii="仿宋_GB2312" w:eastAsia="仿宋_GB2312"/>
          <w:sz w:val="32"/>
          <w:szCs w:val="32"/>
        </w:rPr>
      </w:pPr>
      <w:r>
        <w:rPr>
          <w:rFonts w:hint="eastAsia" w:ascii="仿宋_GB2312" w:eastAsia="仿宋_GB2312" w:hAnsiTheme="minorHAnsi" w:cstheme="minorBidi"/>
          <w:kern w:val="2"/>
          <w:sz w:val="32"/>
          <w:szCs w:val="32"/>
        </w:rPr>
        <w:t>附件5：</w:t>
      </w:r>
      <w:r>
        <w:rPr>
          <w:rFonts w:hint="eastAsia" w:ascii="仿宋_GB2312" w:eastAsia="仿宋_GB2312"/>
          <w:sz w:val="32"/>
          <w:szCs w:val="32"/>
        </w:rPr>
        <w:t>各校参加**省赛团队数量表</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sz w:val="32"/>
          <w:szCs w:val="32"/>
        </w:rPr>
        <w:t>附件6：参赛报名表</w:t>
      </w:r>
    </w:p>
    <w:p>
      <w:pPr>
        <w:pStyle w:val="6"/>
        <w:shd w:val="clear" w:color="auto" w:fill="FFFFFF"/>
        <w:spacing w:before="0" w:beforeAutospacing="0" w:after="0" w:afterAutospacing="0" w:line="315" w:lineRule="atLeast"/>
        <w:jc w:val="right"/>
        <w:rPr>
          <w:rFonts w:ascii="仿宋" w:hAnsi="仿宋" w:eastAsia="仿宋" w:cs="仿宋"/>
          <w:kern w:val="2"/>
          <w:sz w:val="32"/>
          <w:szCs w:val="32"/>
        </w:rPr>
      </w:pPr>
    </w:p>
    <w:p>
      <w:pPr>
        <w:pStyle w:val="6"/>
        <w:shd w:val="clear" w:color="auto" w:fill="FFFFFF"/>
        <w:spacing w:before="0" w:beforeAutospacing="0" w:after="0" w:afterAutospacing="0" w:line="315" w:lineRule="atLeast"/>
        <w:jc w:val="right"/>
        <w:rPr>
          <w:rFonts w:ascii="仿宋" w:hAnsi="仿宋" w:eastAsia="仿宋" w:cs="仿宋"/>
          <w:kern w:val="2"/>
          <w:sz w:val="32"/>
          <w:szCs w:val="32"/>
        </w:rPr>
      </w:pPr>
      <w:r>
        <w:rPr>
          <w:rFonts w:hint="eastAsia" w:ascii="仿宋" w:hAnsi="仿宋" w:eastAsia="仿宋" w:cs="仿宋"/>
          <w:kern w:val="2"/>
          <w:sz w:val="32"/>
          <w:szCs w:val="32"/>
        </w:rPr>
        <w:t>***省分赛区组委会</w:t>
      </w:r>
    </w:p>
    <w:p>
      <w:pPr>
        <w:pStyle w:val="6"/>
        <w:shd w:val="clear" w:color="auto" w:fill="FFFFFF"/>
        <w:wordWrap w:val="0"/>
        <w:spacing w:before="0" w:beforeAutospacing="0" w:after="0" w:afterAutospacing="0" w:line="315" w:lineRule="atLeast"/>
        <w:jc w:val="right"/>
        <w:rPr>
          <w:rFonts w:ascii="仿宋" w:hAnsi="仿宋" w:eastAsia="仿宋" w:cs="仿宋"/>
          <w:kern w:val="2"/>
          <w:sz w:val="32"/>
          <w:szCs w:val="32"/>
        </w:rPr>
      </w:pPr>
      <w:r>
        <w:rPr>
          <w:rFonts w:hint="eastAsia" w:ascii="仿宋" w:hAnsi="仿宋" w:eastAsia="仿宋" w:cs="仿宋"/>
          <w:kern w:val="2"/>
          <w:sz w:val="32"/>
          <w:szCs w:val="32"/>
        </w:rPr>
        <w:t>二○二二年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9634D"/>
    <w:multiLevelType w:val="singleLevel"/>
    <w:tmpl w:val="BF19634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686"/>
    <w:rsid w:val="000115FC"/>
    <w:rsid w:val="000137FC"/>
    <w:rsid w:val="00024E99"/>
    <w:rsid w:val="00057265"/>
    <w:rsid w:val="00097046"/>
    <w:rsid w:val="00106F3A"/>
    <w:rsid w:val="00120302"/>
    <w:rsid w:val="00126FA5"/>
    <w:rsid w:val="001304A5"/>
    <w:rsid w:val="00181254"/>
    <w:rsid w:val="00182074"/>
    <w:rsid w:val="00187D87"/>
    <w:rsid w:val="00205780"/>
    <w:rsid w:val="002132A6"/>
    <w:rsid w:val="00252FD0"/>
    <w:rsid w:val="00267F7B"/>
    <w:rsid w:val="003523AA"/>
    <w:rsid w:val="0037396D"/>
    <w:rsid w:val="00376CFB"/>
    <w:rsid w:val="003B05E3"/>
    <w:rsid w:val="00421049"/>
    <w:rsid w:val="00496B0D"/>
    <w:rsid w:val="004C0280"/>
    <w:rsid w:val="00500706"/>
    <w:rsid w:val="00531956"/>
    <w:rsid w:val="00574D3A"/>
    <w:rsid w:val="0059030A"/>
    <w:rsid w:val="005B3400"/>
    <w:rsid w:val="005F34A5"/>
    <w:rsid w:val="005F7E77"/>
    <w:rsid w:val="00602127"/>
    <w:rsid w:val="00640DD2"/>
    <w:rsid w:val="006638E7"/>
    <w:rsid w:val="006C2EA0"/>
    <w:rsid w:val="00710FB0"/>
    <w:rsid w:val="00740C4C"/>
    <w:rsid w:val="00773D3F"/>
    <w:rsid w:val="007877AC"/>
    <w:rsid w:val="00845D90"/>
    <w:rsid w:val="008A3050"/>
    <w:rsid w:val="008D3386"/>
    <w:rsid w:val="008E590C"/>
    <w:rsid w:val="00943169"/>
    <w:rsid w:val="009C4769"/>
    <w:rsid w:val="009D7413"/>
    <w:rsid w:val="009F1686"/>
    <w:rsid w:val="00A50578"/>
    <w:rsid w:val="00A64F01"/>
    <w:rsid w:val="00AA0957"/>
    <w:rsid w:val="00AB6845"/>
    <w:rsid w:val="00AC0403"/>
    <w:rsid w:val="00AC7F40"/>
    <w:rsid w:val="00AD6C7E"/>
    <w:rsid w:val="00AD736F"/>
    <w:rsid w:val="00AF5FCD"/>
    <w:rsid w:val="00B308E7"/>
    <w:rsid w:val="00B759EE"/>
    <w:rsid w:val="00BA2CA6"/>
    <w:rsid w:val="00BB02CB"/>
    <w:rsid w:val="00C11BD9"/>
    <w:rsid w:val="00C13B5C"/>
    <w:rsid w:val="00C2414C"/>
    <w:rsid w:val="00C36258"/>
    <w:rsid w:val="00C566E4"/>
    <w:rsid w:val="00C62EB0"/>
    <w:rsid w:val="00C6551E"/>
    <w:rsid w:val="00C905C8"/>
    <w:rsid w:val="00CA00E5"/>
    <w:rsid w:val="00CA58B1"/>
    <w:rsid w:val="00CD4CC3"/>
    <w:rsid w:val="00D1551C"/>
    <w:rsid w:val="00D22106"/>
    <w:rsid w:val="00D430A3"/>
    <w:rsid w:val="00E44AED"/>
    <w:rsid w:val="00E81974"/>
    <w:rsid w:val="00E86092"/>
    <w:rsid w:val="100625C1"/>
    <w:rsid w:val="121D2AB1"/>
    <w:rsid w:val="15A51F94"/>
    <w:rsid w:val="1B3F668C"/>
    <w:rsid w:val="201B5D05"/>
    <w:rsid w:val="22597FB9"/>
    <w:rsid w:val="2A3401B3"/>
    <w:rsid w:val="2F4558FF"/>
    <w:rsid w:val="33FE2462"/>
    <w:rsid w:val="3DA12ED7"/>
    <w:rsid w:val="3F181612"/>
    <w:rsid w:val="46F24FB0"/>
    <w:rsid w:val="4DE571E4"/>
    <w:rsid w:val="58596932"/>
    <w:rsid w:val="689A776C"/>
    <w:rsid w:val="69572809"/>
    <w:rsid w:val="76851400"/>
    <w:rsid w:val="780F556E"/>
    <w:rsid w:val="788D6A9F"/>
    <w:rsid w:val="7DEE1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20"/>
    <w:unhideWhenUsed/>
    <w:qFormat/>
    <w:uiPriority w:val="99"/>
    <w:pPr>
      <w:tabs>
        <w:tab w:val="center" w:pos="4153"/>
        <w:tab w:val="right" w:pos="8306"/>
      </w:tabs>
      <w:snapToGrid w:val="0"/>
      <w:jc w:val="left"/>
    </w:pPr>
    <w:rPr>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6"/>
    <w:semiHidden/>
    <w:unhideWhenUsed/>
    <w:qFormat/>
    <w:uiPriority w:val="99"/>
    <w:rPr>
      <w:b/>
      <w:bCs/>
    </w:rPr>
  </w:style>
  <w:style w:type="character" w:styleId="10">
    <w:name w:val="Strong"/>
    <w:basedOn w:val="9"/>
    <w:qFormat/>
    <w:uiPriority w:val="22"/>
    <w:rPr>
      <w:b/>
      <w:bCs/>
    </w:rPr>
  </w:style>
  <w:style w:type="character" w:styleId="11">
    <w:name w:val="Hyperlink"/>
    <w:basedOn w:val="9"/>
    <w:unhideWhenUsed/>
    <w:qFormat/>
    <w:uiPriority w:val="99"/>
    <w:rPr>
      <w:color w:val="0000FF"/>
      <w:u w:val="single"/>
    </w:rPr>
  </w:style>
  <w:style w:type="character" w:styleId="12">
    <w:name w:val="annotation reference"/>
    <w:basedOn w:val="9"/>
    <w:semiHidden/>
    <w:unhideWhenUsed/>
    <w:qFormat/>
    <w:uiPriority w:val="99"/>
    <w:rPr>
      <w:sz w:val="21"/>
      <w:szCs w:val="21"/>
    </w:rPr>
  </w:style>
  <w:style w:type="paragraph" w:styleId="13">
    <w:name w:val="List Paragraph"/>
    <w:basedOn w:val="1"/>
    <w:qFormat/>
    <w:uiPriority w:val="34"/>
    <w:pPr>
      <w:ind w:firstLine="420" w:firstLineChars="200"/>
    </w:pPr>
    <w:rPr>
      <w:rFonts w:ascii="Calibri" w:hAnsi="Calibri" w:eastAsia="宋体" w:cs="Times New Roman"/>
    </w:rPr>
  </w:style>
  <w:style w:type="paragraph" w:customStyle="1" w:styleId="14">
    <w:name w:val="p0"/>
    <w:basedOn w:val="1"/>
    <w:qFormat/>
    <w:uiPriority w:val="0"/>
    <w:pPr>
      <w:widowControl/>
    </w:pPr>
    <w:rPr>
      <w:rFonts w:ascii="Times New Roman" w:hAnsi="Times New Roman" w:eastAsia="宋体" w:cs="Times New Roman"/>
      <w:kern w:val="0"/>
      <w:szCs w:val="21"/>
    </w:rPr>
  </w:style>
  <w:style w:type="character" w:customStyle="1" w:styleId="15">
    <w:name w:val="批注文字 Char"/>
    <w:basedOn w:val="9"/>
    <w:link w:val="2"/>
    <w:semiHidden/>
    <w:uiPriority w:val="99"/>
  </w:style>
  <w:style w:type="character" w:customStyle="1" w:styleId="16">
    <w:name w:val="批注主题 Char"/>
    <w:basedOn w:val="15"/>
    <w:link w:val="7"/>
    <w:semiHidden/>
    <w:qFormat/>
    <w:uiPriority w:val="99"/>
    <w:rPr>
      <w:b/>
      <w:bCs/>
    </w:rPr>
  </w:style>
  <w:style w:type="character" w:customStyle="1" w:styleId="17">
    <w:name w:val="批注框文本 Char"/>
    <w:basedOn w:val="9"/>
    <w:link w:val="3"/>
    <w:semiHidden/>
    <w:qFormat/>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9">
    <w:name w:val="页眉 Char"/>
    <w:basedOn w:val="9"/>
    <w:link w:val="5"/>
    <w:qFormat/>
    <w:uiPriority w:val="99"/>
    <w:rPr>
      <w:sz w:val="18"/>
      <w:szCs w:val="18"/>
    </w:rPr>
  </w:style>
  <w:style w:type="character" w:customStyle="1" w:styleId="20">
    <w:name w:val="页脚 Char"/>
    <w:basedOn w:val="9"/>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OEM</Company>
  <Pages>3</Pages>
  <Words>1051</Words>
  <Characters>1100</Characters>
  <Lines>8</Lines>
  <Paragraphs>2</Paragraphs>
  <TotalTime>8</TotalTime>
  <ScaleCrop>false</ScaleCrop>
  <LinksUpToDate>false</LinksUpToDate>
  <CharactersWithSpaces>1122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2019-03-04T02:13:00Z</dcterms:created>
  <dc:creator>OEM</dc:creator>
  <cp:lastModifiedBy>ùúûü</cp:lastModifiedBy>
  <dcterms:modified xsi:type="dcterms:W3CDTF">2022-03-18T02:01:47Z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68452266D8AB4BFE9933DCE0CA8F3B1E</vt:lpwstr>
  </property>
</Properties>
</file>