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
        <w:jc w:val="left"/>
        <w:rPr>
          <w:rFonts w:ascii="仿宋" w:hAnsi="仿宋" w:eastAsia="仿宋" w:cs="Times New Roman"/>
          <w:sz w:val="32"/>
          <w:szCs w:val="24"/>
        </w:rPr>
      </w:pPr>
      <w:r>
        <w:rPr>
          <w:rFonts w:hint="eastAsia" w:ascii="仿宋" w:hAnsi="仿宋" w:eastAsia="仿宋" w:cs="Times New Roman"/>
          <w:sz w:val="32"/>
          <w:szCs w:val="24"/>
        </w:rPr>
        <w:t>附件</w:t>
      </w:r>
    </w:p>
    <w:p>
      <w:pPr>
        <w:widowControl/>
        <w:spacing w:before="400" w:after="300" w:line="360" w:lineRule="auto"/>
        <w:jc w:val="center"/>
        <w:textAlignment w:val="baseline"/>
        <w:rPr>
          <w:rFonts w:ascii="Times New Roman" w:hAnsi="宋体" w:eastAsia="黑体" w:cs="Times New Roman"/>
          <w:kern w:val="0"/>
          <w:sz w:val="32"/>
          <w:szCs w:val="30"/>
          <w:u w:color="000000"/>
        </w:rPr>
      </w:pPr>
      <w:bookmarkStart w:id="4" w:name="_GoBack"/>
      <w:bookmarkStart w:id="0" w:name="_Toc74706237"/>
      <w:bookmarkStart w:id="1" w:name="_Toc9978"/>
      <w:bookmarkStart w:id="2" w:name="_Toc23687"/>
      <w:bookmarkStart w:id="3" w:name="_Toc74685831"/>
      <w:r>
        <w:rPr>
          <w:rFonts w:hint="eastAsia" w:ascii="Times New Roman" w:hAnsi="宋体" w:eastAsia="黑体" w:cs="Times New Roman"/>
          <w:kern w:val="0"/>
          <w:sz w:val="32"/>
          <w:szCs w:val="30"/>
          <w:u w:color="000000"/>
        </w:rPr>
        <w:t>郑州财经学院教学管理先进单位评价指标体系</w:t>
      </w:r>
      <w:bookmarkEnd w:id="0"/>
      <w:bookmarkEnd w:id="1"/>
      <w:bookmarkEnd w:id="2"/>
      <w:bookmarkEnd w:id="3"/>
    </w:p>
    <w:bookmarkEnd w:id="4"/>
    <w:tbl>
      <w:tblPr>
        <w:tblStyle w:val="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34"/>
        <w:gridCol w:w="677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016" w:type="dxa"/>
            <w:vAlign w:val="center"/>
          </w:tcPr>
          <w:p>
            <w:pPr>
              <w:jc w:val="center"/>
              <w:rPr>
                <w:rFonts w:ascii="黑体" w:hAnsi="黑体" w:eastAsia="黑体" w:cs="Times New Roman"/>
                <w:snapToGrid w:val="0"/>
                <w:kern w:val="0"/>
                <w:szCs w:val="21"/>
              </w:rPr>
            </w:pPr>
            <w:r>
              <w:rPr>
                <w:rFonts w:hint="eastAsia" w:ascii="黑体" w:hAnsi="黑体" w:eastAsia="黑体" w:cs="Times New Roman"/>
                <w:snapToGrid w:val="0"/>
                <w:kern w:val="0"/>
                <w:szCs w:val="21"/>
              </w:rPr>
              <w:t>一级</w:t>
            </w:r>
          </w:p>
          <w:p>
            <w:pPr>
              <w:jc w:val="center"/>
              <w:rPr>
                <w:rFonts w:ascii="黑体" w:hAnsi="黑体" w:eastAsia="黑体" w:cs="Times New Roman"/>
                <w:snapToGrid w:val="0"/>
                <w:kern w:val="0"/>
                <w:szCs w:val="21"/>
              </w:rPr>
            </w:pPr>
            <w:r>
              <w:rPr>
                <w:rFonts w:hint="eastAsia" w:ascii="黑体" w:hAnsi="黑体" w:eastAsia="黑体" w:cs="Times New Roman"/>
                <w:snapToGrid w:val="0"/>
                <w:kern w:val="0"/>
                <w:szCs w:val="21"/>
              </w:rPr>
              <w:t>指标</w:t>
            </w:r>
          </w:p>
        </w:tc>
        <w:tc>
          <w:tcPr>
            <w:tcW w:w="1134" w:type="dxa"/>
            <w:vAlign w:val="center"/>
          </w:tcPr>
          <w:p>
            <w:pPr>
              <w:jc w:val="center"/>
              <w:rPr>
                <w:rFonts w:ascii="黑体" w:hAnsi="黑体" w:eastAsia="黑体" w:cs="Times New Roman"/>
                <w:snapToGrid w:val="0"/>
                <w:kern w:val="0"/>
                <w:szCs w:val="21"/>
              </w:rPr>
            </w:pPr>
            <w:r>
              <w:rPr>
                <w:rFonts w:hint="eastAsia" w:ascii="黑体" w:hAnsi="黑体" w:eastAsia="黑体" w:cs="Times New Roman"/>
                <w:snapToGrid w:val="0"/>
                <w:kern w:val="0"/>
                <w:szCs w:val="21"/>
              </w:rPr>
              <w:t>二级指标</w:t>
            </w:r>
          </w:p>
        </w:tc>
        <w:tc>
          <w:tcPr>
            <w:tcW w:w="6776" w:type="dxa"/>
            <w:vAlign w:val="center"/>
          </w:tcPr>
          <w:p>
            <w:pPr>
              <w:jc w:val="center"/>
              <w:rPr>
                <w:rFonts w:ascii="黑体" w:hAnsi="黑体" w:eastAsia="黑体" w:cs="Times New Roman"/>
                <w:snapToGrid w:val="0"/>
                <w:kern w:val="0"/>
                <w:szCs w:val="21"/>
              </w:rPr>
            </w:pPr>
            <w:r>
              <w:rPr>
                <w:rFonts w:hint="eastAsia" w:ascii="黑体" w:hAnsi="黑体" w:eastAsia="黑体" w:cs="Times New Roman"/>
                <w:snapToGrid w:val="0"/>
                <w:kern w:val="0"/>
                <w:szCs w:val="21"/>
              </w:rPr>
              <w:t>评分标准</w:t>
            </w:r>
          </w:p>
        </w:tc>
        <w:tc>
          <w:tcPr>
            <w:tcW w:w="425" w:type="dxa"/>
            <w:vAlign w:val="center"/>
          </w:tcPr>
          <w:p>
            <w:pPr>
              <w:rPr>
                <w:rFonts w:ascii="黑体" w:hAnsi="黑体" w:eastAsia="黑体" w:cs="Times New Roman"/>
                <w:snapToGrid w:val="0"/>
                <w:kern w:val="0"/>
                <w:szCs w:val="21"/>
              </w:rPr>
            </w:pPr>
            <w:r>
              <w:rPr>
                <w:rFonts w:hint="eastAsia" w:ascii="黑体" w:hAnsi="黑体" w:eastAsia="黑体" w:cs="Times New Roman"/>
                <w:snapToGrid w:val="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016" w:type="dxa"/>
            <w:vMerge w:val="restart"/>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教学管理基础（12分）</w:t>
            </w: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管理理念</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落实立德树人根本任务，坚持育人为本，德育为先，能力为重，全面发展；突出应用型人才培养，思路清晰，效果明显；以学生发展为中心，关注学生不同特点和个性差异，注重因材施教；落实学校办学定位，突出“ETC”办学特色。</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管理制度</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教学管理制度规范、完备，主要教学环节的质量标准执行严格，教学运行平稳有序；教学管理队伍稳定。</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教学档案</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教学会议记录、教学管理文件、教学进度表、工作量统计、学生试卷、学生成绩记载、学籍异动等资料齐全，管理规范（分类编目，保存完整）。</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016" w:type="dxa"/>
            <w:vMerge w:val="restart"/>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教学基本建设（26分）</w:t>
            </w: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教学改革</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有先进的教学改革方案，积极开展产学研合作教育，在与企事业或行业合作举办专业、共建教学资源、合作培养人才、合作就业方面取得较好效果，相关行业企业参与制定修订专业人才培养方案和培养过程。获省市级教学工程项目高于全校平均水平。</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专业建设</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能根据区域经济社会发展需要和学校实际增设和调整专业，有专业建设与调整规划且执行良好；行业企业多种形式参与专业建设，专业特色鲜明，有新增省级一流本科专业。</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课程建设</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构建了科学合理的培养应用型人才的课程体系，有课程建设规划，有新增省级及以上精品在线开放课程、一流本科课程且成绩突出。</w:t>
            </w:r>
            <w:r>
              <w:rPr>
                <w:rFonts w:ascii="宋体" w:hAnsi="宋体" w:eastAsia="宋体" w:cs="Times New Roman"/>
                <w:snapToGrid w:val="0"/>
                <w:kern w:val="0"/>
                <w:szCs w:val="21"/>
              </w:rPr>
              <w:t xml:space="preserve"> </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基层教学组织建设</w:t>
            </w:r>
          </w:p>
        </w:tc>
        <w:tc>
          <w:tcPr>
            <w:tcW w:w="6776" w:type="dxa"/>
            <w:vAlign w:val="center"/>
          </w:tcPr>
          <w:p>
            <w:pPr>
              <w:spacing w:line="276" w:lineRule="auto"/>
              <w:rPr>
                <w:rFonts w:ascii="宋体" w:hAnsi="宋体" w:eastAsia="宋体" w:cs="仿宋"/>
                <w:snapToGrid w:val="0"/>
                <w:kern w:val="0"/>
                <w:sz w:val="24"/>
                <w:szCs w:val="24"/>
              </w:rPr>
            </w:pPr>
            <w:r>
              <w:rPr>
                <w:rFonts w:hint="eastAsia" w:ascii="宋体" w:hAnsi="宋体" w:eastAsia="宋体" w:cs="仿宋"/>
                <w:snapToGrid w:val="0"/>
                <w:kern w:val="0"/>
                <w:sz w:val="24"/>
                <w:szCs w:val="24"/>
              </w:rPr>
              <w:t>负责人具有高级职称，团队</w:t>
            </w:r>
            <w:r>
              <w:rPr>
                <w:rFonts w:ascii="宋体" w:hAnsi="宋体" w:eastAsia="宋体" w:cs="仿宋"/>
                <w:snapToGrid w:val="0"/>
                <w:kern w:val="0"/>
                <w:sz w:val="24"/>
                <w:szCs w:val="24"/>
              </w:rPr>
              <w:t>成员年龄、学历、职称、学缘结构合理；</w:t>
            </w:r>
            <w:r>
              <w:rPr>
                <w:rFonts w:hint="eastAsia" w:ascii="宋体" w:hAnsi="宋体" w:eastAsia="宋体" w:cs="Times New Roman"/>
                <w:snapToGrid w:val="0"/>
                <w:kern w:val="0"/>
                <w:szCs w:val="21"/>
              </w:rPr>
              <w:t>组织落实备课、授课、课程设计、实验实习、考试考查、毕业论文等教学环节各项任务，</w:t>
            </w:r>
            <w:r>
              <w:rPr>
                <w:rFonts w:hint="eastAsia" w:ascii="宋体" w:hAnsi="宋体" w:eastAsia="宋体" w:cs="仿宋"/>
                <w:snapToGrid w:val="0"/>
                <w:kern w:val="0"/>
                <w:sz w:val="24"/>
                <w:szCs w:val="24"/>
              </w:rPr>
              <w:t>运行有序，档案资料齐全；承担有校级及以上教改项目，参与教师占比达到</w:t>
            </w:r>
            <w:r>
              <w:rPr>
                <w:rFonts w:ascii="宋体" w:hAnsi="宋体" w:eastAsia="宋体" w:cs="仿宋"/>
                <w:snapToGrid w:val="0"/>
                <w:kern w:val="0"/>
                <w:sz w:val="24"/>
                <w:szCs w:val="24"/>
              </w:rPr>
              <w:t>60%</w:t>
            </w:r>
            <w:r>
              <w:rPr>
                <w:rFonts w:hint="eastAsia" w:ascii="宋体" w:hAnsi="宋体" w:eastAsia="宋体" w:cs="仿宋"/>
                <w:snapToGrid w:val="0"/>
                <w:kern w:val="0"/>
                <w:sz w:val="24"/>
                <w:szCs w:val="24"/>
              </w:rPr>
              <w:t>以上。</w:t>
            </w:r>
            <w:r>
              <w:rPr>
                <w:rFonts w:ascii="宋体" w:hAnsi="宋体" w:eastAsia="宋体" w:cs="仿宋"/>
                <w:snapToGrid w:val="0"/>
                <w:kern w:val="0"/>
                <w:sz w:val="24"/>
                <w:szCs w:val="24"/>
              </w:rPr>
              <w:t xml:space="preserve"> </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实验实训</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实验实训开出率达到90%以上，每门有实验的课程均开设有综合性、设计性实验；能与企事业单位紧密合作开展实习实训；新增本科专业建立有3个及以上稳定的实习实训基地，有毕业生的专业实习基地能满足合格评估要求，并统一组织、集中安排实习生进行实习，时间有保障，指导到位，考核科学，效果较好，应用型人才培养训练充分。</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016" w:type="dxa"/>
            <w:vMerge w:val="restart"/>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教学质量控制（30分）</w:t>
            </w: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培养方案</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有符合本专业人才培养目标，能够反映本学科专业发展方向和经济社会发展需要的专业培养方案且调整率低；与培养方案相配套的专业基础课和专业课的教学大纲规范完备，执行严格。</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教师教案</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所有教师均有完整齐备的教案，教案规范，更新率达80%以上；建有丰富的行业企业教学资源库。</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教学检查</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有教学检查制度和措施，并能认真实施，每次检查总结和各种资料齐全。</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教学评议</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有听课制度，听课原始资料保存完整，有评教评学活动计划和措施，资料齐全。</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教学研究</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开展教学研究活动和教学督导活动，教研活动资料和督导反馈意见保存完整，教研室活动符合学校文件规定；全部课程和任课教师开展课程思政，且形成8</w:t>
            </w:r>
            <w:r>
              <w:rPr>
                <w:rFonts w:ascii="宋体" w:hAnsi="宋体" w:eastAsia="宋体" w:cs="Times New Roman"/>
                <w:snapToGrid w:val="0"/>
                <w:kern w:val="0"/>
                <w:szCs w:val="21"/>
              </w:rPr>
              <w:t>-10</w:t>
            </w:r>
            <w:r>
              <w:rPr>
                <w:rFonts w:hint="eastAsia" w:ascii="宋体" w:hAnsi="宋体" w:eastAsia="宋体" w:cs="Times New Roman"/>
                <w:snapToGrid w:val="0"/>
                <w:kern w:val="0"/>
                <w:szCs w:val="21"/>
              </w:rPr>
              <w:t>个典型案例；积极开展教学方法和教学手段改革，获得省级及以上教改项目或教学成果奖。</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作业辅导</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作业交送与批改按要求执行，按时对学生进行辅导答疑，有记载资料。充分利用现代信息技术进行学习指导。</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016" w:type="dxa"/>
            <w:vMerge w:val="restart"/>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教学考试管理（15分）</w:t>
            </w: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题库建设</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建有考试课程试题库和专业技能测试试题库，或试题命判符合要求，未出现差错；深化考核方式改革，注重过程性评价，形成规范、科学的过程性考核方法，各门课程过程性考核方式科学合理，原始记录齐全。</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考试纪律</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考试秩序良好，对违纪学生严肃处理，严格执行考试管理规定，严格考风考纪。</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试卷归档</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课程考核材料规范齐全，归档保存完好。</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6" w:type="dxa"/>
            <w:vMerge w:val="restart"/>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教学管理效果（12分）</w:t>
            </w: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教学秩序</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教师“五带”和学生“五带”执行严格；教学秩序良好，教师调课率低于全校平均水平，教学事故处理及时，遵守纪律、学风好。</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培养质量</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获得“双证书”学生比例高，英语和计算机等级考试通过率较高，达到培养目标的要求，学生掌握了本专业基本理论、基本知识和基本技能，学生在省市级及以上专业技能竞赛中获奖多，具备了从事本专业相关工作的能力。学生考研录取率高于全校平均水平。</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016" w:type="dxa"/>
            <w:vMerge w:val="continue"/>
          </w:tcPr>
          <w:p>
            <w:pPr>
              <w:spacing w:line="276" w:lineRule="auto"/>
              <w:jc w:val="center"/>
              <w:rPr>
                <w:rFonts w:ascii="宋体" w:hAnsi="宋体" w:eastAsia="宋体" w:cs="Times New Roman"/>
                <w:snapToGrid w:val="0"/>
                <w:kern w:val="0"/>
                <w:szCs w:val="21"/>
              </w:rPr>
            </w:pPr>
          </w:p>
        </w:tc>
        <w:tc>
          <w:tcPr>
            <w:tcW w:w="1134"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毕业论文（设计）</w:t>
            </w:r>
          </w:p>
        </w:tc>
        <w:tc>
          <w:tcPr>
            <w:tcW w:w="6776" w:type="dxa"/>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选题紧密结合生产和社会实际难度、工作量适当，体现专业综合训练要求；有</w:t>
            </w:r>
            <w:r>
              <w:rPr>
                <w:rFonts w:ascii="宋体" w:hAnsi="宋体" w:eastAsia="宋体" w:cs="Times New Roman"/>
                <w:snapToGrid w:val="0"/>
                <w:kern w:val="0"/>
                <w:szCs w:val="21"/>
              </w:rPr>
              <w:t>80%</w:t>
            </w:r>
            <w:r>
              <w:rPr>
                <w:rFonts w:hint="eastAsia" w:ascii="宋体" w:hAnsi="宋体" w:eastAsia="宋体" w:cs="Times New Roman"/>
                <w:snapToGrid w:val="0"/>
                <w:kern w:val="0"/>
                <w:szCs w:val="21"/>
              </w:rPr>
              <w:t>以上毕业论文（设计）在实验、实习、工程实践和社会调查等社会实践中完成。教师指导学生人数比例适当，指导规范，论文（设计）质量合格。</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6"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创新</w:t>
            </w:r>
          </w:p>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（5分）</w:t>
            </w:r>
          </w:p>
        </w:tc>
        <w:tc>
          <w:tcPr>
            <w:tcW w:w="7910" w:type="dxa"/>
            <w:gridSpan w:val="2"/>
            <w:vAlign w:val="center"/>
          </w:tcPr>
          <w:p>
            <w:pPr>
              <w:spacing w:line="276" w:lineRule="auto"/>
              <w:rPr>
                <w:rFonts w:ascii="宋体" w:hAnsi="宋体" w:eastAsia="宋体" w:cs="Times New Roman"/>
                <w:snapToGrid w:val="0"/>
                <w:kern w:val="0"/>
                <w:szCs w:val="21"/>
              </w:rPr>
            </w:pPr>
            <w:r>
              <w:rPr>
                <w:rFonts w:hint="eastAsia" w:ascii="宋体" w:hAnsi="宋体" w:eastAsia="宋体" w:cs="Times New Roman"/>
                <w:snapToGrid w:val="0"/>
                <w:kern w:val="0"/>
                <w:szCs w:val="21"/>
              </w:rPr>
              <w:t>获得省级及以上奖励；发表教学管理论文，同其他单位相比，具有管理特色者。</w:t>
            </w:r>
          </w:p>
        </w:tc>
        <w:tc>
          <w:tcPr>
            <w:tcW w:w="425" w:type="dxa"/>
            <w:vAlign w:val="center"/>
          </w:tcPr>
          <w:p>
            <w:pPr>
              <w:spacing w:line="276" w:lineRule="auto"/>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5</w:t>
            </w:r>
          </w:p>
        </w:tc>
      </w:tr>
    </w:tbl>
    <w:p>
      <w:pPr>
        <w:spacing w:line="360" w:lineRule="auto"/>
        <w:rPr>
          <w:rFonts w:ascii="宋体" w:hAnsi="宋体" w:eastAsia="宋体" w:cs="Times New Roman"/>
          <w:snapToGrid w:val="0"/>
          <w:kern w:val="0"/>
          <w:sz w:val="24"/>
          <w:szCs w:val="24"/>
        </w:rPr>
      </w:pPr>
    </w:p>
    <w:p/>
    <w:sectPr>
      <w:footerReference r:id="rId3" w:type="default"/>
      <w:pgSz w:w="11906" w:h="16838"/>
      <w:pgMar w:top="1418" w:right="1276" w:bottom="1134"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696235313"/>
      <w:docPartObj>
        <w:docPartGallery w:val="autotext"/>
      </w:docPartObj>
    </w:sdtPr>
    <w:sdtEndPr>
      <w:rPr>
        <w:rFonts w:ascii="Calibri" w:hAnsi="Calibri" w:eastAsia="宋体" w:cs="Times New Roman"/>
        <w:kern w:val="2"/>
        <w:sz w:val="18"/>
        <w:szCs w:val="18"/>
        <w:lang w:val="en-US" w:eastAsia="zh-CN" w:bidi="ar-SA"/>
      </w:rPr>
    </w:sdtEndPr>
    <w:sdtContent>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3</w:t>
        </w:r>
        <w:r>
          <w:rPr>
            <w:rFonts w:ascii="Calibri" w:hAnsi="Calibri" w:eastAsia="宋体" w:cs="Times New Roman"/>
            <w:kern w:val="2"/>
            <w:sz w:val="18"/>
            <w:szCs w:val="18"/>
            <w:lang w:val="en-US" w:eastAsia="zh-CN" w:bidi="ar-SA"/>
          </w:rPr>
          <w:fldChar w:fldCharType="end"/>
        </w:r>
      </w:p>
    </w:sdtContent>
  </w:sd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Yzk3MTcxMzdhNDMzYWEwY2NmZjYzMDQ4YjFhZWIifQ=="/>
  </w:docVars>
  <w:rsids>
    <w:rsidRoot w:val="451B3CFF"/>
    <w:rsid w:val="451B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2022-07-06T08:13:00Z</dcterms:created>
  <dc:creator>张甜</dc:creator>
  <cp:lastModifiedBy>张甜</cp:lastModifiedBy>
  <dcterms:modified xsi:type="dcterms:W3CDTF">2022-07-06T08:13:32Z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B96898AB28994DD5A6D905EA418221CF</vt:lpwstr>
  </property>
</Properties>
</file>