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36"/>
        <w:ind w:left="891"/>
      </w:pPr>
      <w:r>
        <w:rPr>
          <w:spacing w:val="-18"/>
          <w:w w:val="95"/>
        </w:rPr>
        <w:t>附件</w:t>
      </w:r>
      <w:r>
        <w:rPr>
          <w:w w:val="95"/>
        </w:rPr>
        <w:t>1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91" w:lineRule="auto"/>
        <w:ind w:left="4077" w:right="2449" w:hanging="1655"/>
        <w:jc w:val="left"/>
        <w:textAlignment w:val="auto"/>
        <w:rPr>
          <w:spacing w:val="8"/>
          <w:w w:val="95"/>
        </w:rPr>
      </w:pPr>
      <w:r>
        <w:rPr>
          <w:spacing w:val="3"/>
          <w:w w:val="95"/>
        </w:rPr>
        <w:t>河南省教育科学规划</w:t>
      </w:r>
      <w:r>
        <w:rPr>
          <w:w w:val="95"/>
        </w:rPr>
        <w:t>2022</w:t>
      </w:r>
      <w:r>
        <w:rPr>
          <w:spacing w:val="8"/>
          <w:w w:val="95"/>
        </w:rPr>
        <w:t>年度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91" w:lineRule="auto"/>
        <w:ind w:left="3691" w:leftChars="374" w:right="2449" w:hanging="2868" w:hangingChars="652"/>
        <w:jc w:val="center"/>
        <w:textAlignment w:val="auto"/>
      </w:pPr>
      <w:r>
        <w:rPr>
          <w:rFonts w:hint="eastAsia"/>
          <w:lang w:val="en-US" w:eastAsia="zh-CN"/>
        </w:rPr>
        <w:t xml:space="preserve">     </w:t>
      </w:r>
      <w:bookmarkStart w:id="0" w:name="_GoBack"/>
      <w:bookmarkEnd w:id="0"/>
      <w:r>
        <w:t>专项课题指南</w:t>
      </w:r>
    </w:p>
    <w:p>
      <w:pPr>
        <w:pStyle w:val="3"/>
        <w:spacing w:before="5"/>
        <w:rPr>
          <w:sz w:val="50"/>
        </w:rPr>
      </w:pPr>
    </w:p>
    <w:p>
      <w:pPr>
        <w:pStyle w:val="3"/>
        <w:ind w:left="1532"/>
      </w:pPr>
      <w:r>
        <w:rPr>
          <w:w w:val="95"/>
        </w:rPr>
        <w:t>一、基础教育专项课题指南</w:t>
      </w:r>
    </w:p>
    <w:p>
      <w:pPr>
        <w:pStyle w:val="6"/>
        <w:numPr>
          <w:ilvl w:val="0"/>
          <w:numId w:val="1"/>
        </w:numPr>
        <w:tabs>
          <w:tab w:val="left" w:pos="1854"/>
        </w:tabs>
        <w:spacing w:before="175" w:after="0" w:line="240" w:lineRule="auto"/>
        <w:ind w:left="1854" w:right="0" w:hanging="322"/>
        <w:jc w:val="left"/>
        <w:rPr>
          <w:sz w:val="32"/>
        </w:rPr>
      </w:pPr>
      <w:r>
        <w:rPr>
          <w:w w:val="95"/>
          <w:sz w:val="32"/>
        </w:rPr>
        <w:t>新高考背景下普通高中教育教学方式改革研究</w:t>
      </w:r>
    </w:p>
    <w:p>
      <w:pPr>
        <w:pStyle w:val="6"/>
        <w:numPr>
          <w:ilvl w:val="0"/>
          <w:numId w:val="1"/>
        </w:numPr>
        <w:tabs>
          <w:tab w:val="left" w:pos="1854"/>
        </w:tabs>
        <w:spacing w:before="179" w:after="0" w:line="240" w:lineRule="auto"/>
        <w:ind w:left="1854" w:right="0" w:hanging="322"/>
        <w:jc w:val="left"/>
        <w:rPr>
          <w:sz w:val="32"/>
        </w:rPr>
      </w:pPr>
      <w:r>
        <w:rPr>
          <w:w w:val="95"/>
          <w:sz w:val="32"/>
        </w:rPr>
        <w:t>新高考背景下普通高中班级管理改革问题研究</w:t>
      </w:r>
    </w:p>
    <w:p>
      <w:pPr>
        <w:pStyle w:val="6"/>
        <w:numPr>
          <w:ilvl w:val="0"/>
          <w:numId w:val="1"/>
        </w:numPr>
        <w:tabs>
          <w:tab w:val="left" w:pos="1854"/>
        </w:tabs>
        <w:spacing w:before="178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河南省中小学校办学质量监测机制研究</w:t>
      </w:r>
    </w:p>
    <w:p>
      <w:pPr>
        <w:pStyle w:val="6"/>
        <w:numPr>
          <w:ilvl w:val="0"/>
          <w:numId w:val="1"/>
        </w:numPr>
        <w:tabs>
          <w:tab w:val="left" w:pos="1854"/>
        </w:tabs>
        <w:spacing w:before="175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河南省普通高中多样化发展路径研究</w:t>
      </w:r>
    </w:p>
    <w:p>
      <w:pPr>
        <w:pStyle w:val="6"/>
        <w:numPr>
          <w:ilvl w:val="0"/>
          <w:numId w:val="1"/>
        </w:numPr>
        <w:tabs>
          <w:tab w:val="left" w:pos="1854"/>
        </w:tabs>
        <w:spacing w:before="178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河南省普通高中学科基地建设研究</w:t>
      </w:r>
    </w:p>
    <w:p>
      <w:pPr>
        <w:pStyle w:val="3"/>
        <w:spacing w:before="176"/>
        <w:ind w:left="1532"/>
      </w:pPr>
      <w:r>
        <w:rPr>
          <w:w w:val="95"/>
        </w:rPr>
        <w:t>二、幼小衔接专项课题指南</w:t>
      </w:r>
    </w:p>
    <w:p>
      <w:pPr>
        <w:pStyle w:val="6"/>
        <w:numPr>
          <w:ilvl w:val="0"/>
          <w:numId w:val="2"/>
        </w:numPr>
        <w:tabs>
          <w:tab w:val="left" w:pos="1854"/>
        </w:tabs>
        <w:spacing w:before="178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河南省幼小衔接联合教研实践创新研究</w:t>
      </w:r>
    </w:p>
    <w:p>
      <w:pPr>
        <w:pStyle w:val="6"/>
        <w:numPr>
          <w:ilvl w:val="0"/>
          <w:numId w:val="2"/>
        </w:numPr>
        <w:tabs>
          <w:tab w:val="left" w:pos="1854"/>
        </w:tabs>
        <w:spacing w:before="176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幼小衔接河南实践的制度创新研究</w:t>
      </w:r>
    </w:p>
    <w:p>
      <w:pPr>
        <w:pStyle w:val="6"/>
        <w:numPr>
          <w:ilvl w:val="0"/>
          <w:numId w:val="2"/>
        </w:numPr>
        <w:tabs>
          <w:tab w:val="left" w:pos="1854"/>
        </w:tabs>
        <w:spacing w:before="178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幼小衔接背景下的小学低年级课程改革研究</w:t>
      </w:r>
    </w:p>
    <w:p>
      <w:pPr>
        <w:pStyle w:val="6"/>
        <w:numPr>
          <w:ilvl w:val="0"/>
          <w:numId w:val="2"/>
        </w:numPr>
        <w:tabs>
          <w:tab w:val="left" w:pos="1854"/>
        </w:tabs>
        <w:spacing w:before="178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幼小衔接视角下的幼儿园游戏化课程研究</w:t>
      </w:r>
    </w:p>
    <w:p>
      <w:pPr>
        <w:pStyle w:val="6"/>
        <w:numPr>
          <w:ilvl w:val="0"/>
          <w:numId w:val="2"/>
        </w:numPr>
        <w:tabs>
          <w:tab w:val="left" w:pos="1854"/>
        </w:tabs>
        <w:spacing w:before="176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助推幼小衔接有效落地的家园（校）社协同育人研究</w:t>
      </w:r>
    </w:p>
    <w:p>
      <w:pPr>
        <w:pStyle w:val="3"/>
        <w:spacing w:before="178"/>
        <w:ind w:left="1532"/>
      </w:pPr>
      <w:r>
        <w:rPr>
          <w:w w:val="95"/>
        </w:rPr>
        <w:t>三、少先队专项课题指南</w:t>
      </w:r>
    </w:p>
    <w:p>
      <w:pPr>
        <w:pStyle w:val="6"/>
        <w:numPr>
          <w:ilvl w:val="0"/>
          <w:numId w:val="3"/>
        </w:numPr>
        <w:tabs>
          <w:tab w:val="left" w:pos="1854"/>
        </w:tabs>
        <w:spacing w:before="176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引导少年儿童熔铸初心的研究</w:t>
      </w:r>
    </w:p>
    <w:p>
      <w:pPr>
        <w:pStyle w:val="6"/>
        <w:numPr>
          <w:ilvl w:val="0"/>
          <w:numId w:val="3"/>
        </w:numPr>
        <w:tabs>
          <w:tab w:val="left" w:pos="1854"/>
        </w:tabs>
        <w:spacing w:before="177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分批入队增强少先队光荣感机制和实施路径研究</w:t>
      </w:r>
    </w:p>
    <w:p>
      <w:pPr>
        <w:pStyle w:val="6"/>
        <w:numPr>
          <w:ilvl w:val="0"/>
          <w:numId w:val="3"/>
        </w:numPr>
        <w:tabs>
          <w:tab w:val="left" w:pos="1854"/>
        </w:tabs>
        <w:spacing w:before="179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党建带团建、队建一体化建设机制的研究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80" w:right="440" w:bottom="1960" w:left="640" w:header="0" w:footer="1779" w:gutter="0"/>
          <w:cols w:space="720" w:num="1"/>
        </w:sectPr>
      </w:pPr>
    </w:p>
    <w:p>
      <w:pPr>
        <w:pStyle w:val="6"/>
        <w:numPr>
          <w:ilvl w:val="0"/>
          <w:numId w:val="3"/>
        </w:numPr>
        <w:tabs>
          <w:tab w:val="left" w:pos="1854"/>
        </w:tabs>
        <w:spacing w:before="136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少先队员传承红色基因教育路径研究</w:t>
      </w:r>
    </w:p>
    <w:p>
      <w:pPr>
        <w:pStyle w:val="6"/>
        <w:numPr>
          <w:ilvl w:val="0"/>
          <w:numId w:val="3"/>
        </w:numPr>
        <w:tabs>
          <w:tab w:val="left" w:pos="1854"/>
        </w:tabs>
        <w:spacing w:before="178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红领巾寻访活动对少先队员政治启蒙教育的研究</w:t>
      </w:r>
    </w:p>
    <w:p>
      <w:pPr>
        <w:pStyle w:val="6"/>
        <w:numPr>
          <w:ilvl w:val="0"/>
          <w:numId w:val="3"/>
        </w:numPr>
        <w:tabs>
          <w:tab w:val="left" w:pos="1854"/>
        </w:tabs>
        <w:spacing w:before="176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红领巾奖章争章体系构建与实施研究</w:t>
      </w:r>
    </w:p>
    <w:p>
      <w:pPr>
        <w:pStyle w:val="6"/>
        <w:numPr>
          <w:ilvl w:val="0"/>
          <w:numId w:val="3"/>
        </w:numPr>
        <w:tabs>
          <w:tab w:val="left" w:pos="1854"/>
        </w:tabs>
        <w:spacing w:before="178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学校少工委在少先队组织和工作中的作用研究</w:t>
      </w:r>
    </w:p>
    <w:p>
      <w:pPr>
        <w:pStyle w:val="6"/>
        <w:numPr>
          <w:ilvl w:val="0"/>
          <w:numId w:val="3"/>
        </w:numPr>
        <w:tabs>
          <w:tab w:val="left" w:pos="1854"/>
        </w:tabs>
        <w:spacing w:before="175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少先队组织文化育人的研究</w:t>
      </w:r>
    </w:p>
    <w:p>
      <w:pPr>
        <w:pStyle w:val="6"/>
        <w:numPr>
          <w:ilvl w:val="0"/>
          <w:numId w:val="3"/>
        </w:numPr>
        <w:tabs>
          <w:tab w:val="left" w:pos="1854"/>
        </w:tabs>
        <w:spacing w:before="179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中学少先队推优入团工作实施评价研究</w:t>
      </w:r>
    </w:p>
    <w:p>
      <w:pPr>
        <w:pStyle w:val="6"/>
        <w:numPr>
          <w:ilvl w:val="0"/>
          <w:numId w:val="3"/>
        </w:numPr>
        <w:tabs>
          <w:tab w:val="left" w:pos="2015"/>
        </w:tabs>
        <w:spacing w:before="176" w:after="0" w:line="240" w:lineRule="auto"/>
        <w:ind w:left="2014" w:right="0" w:hanging="483"/>
        <w:jc w:val="left"/>
        <w:rPr>
          <w:sz w:val="32"/>
        </w:rPr>
      </w:pPr>
      <w:r>
        <w:rPr>
          <w:w w:val="95"/>
          <w:sz w:val="32"/>
        </w:rPr>
        <w:t>学校少先队工作教研体系机制研究</w:t>
      </w:r>
    </w:p>
    <w:p>
      <w:pPr>
        <w:pStyle w:val="6"/>
        <w:numPr>
          <w:ilvl w:val="0"/>
          <w:numId w:val="3"/>
        </w:numPr>
        <w:tabs>
          <w:tab w:val="left" w:pos="2015"/>
        </w:tabs>
        <w:spacing w:before="177" w:after="0" w:line="240" w:lineRule="auto"/>
        <w:ind w:left="2014" w:right="0" w:hanging="483"/>
        <w:jc w:val="left"/>
        <w:rPr>
          <w:sz w:val="32"/>
        </w:rPr>
      </w:pPr>
      <w:r>
        <w:rPr>
          <w:w w:val="95"/>
          <w:sz w:val="32"/>
        </w:rPr>
        <w:t>少先队活动课实施与教育质量研究</w:t>
      </w:r>
    </w:p>
    <w:p>
      <w:pPr>
        <w:pStyle w:val="6"/>
        <w:numPr>
          <w:ilvl w:val="0"/>
          <w:numId w:val="3"/>
        </w:numPr>
        <w:tabs>
          <w:tab w:val="left" w:pos="2015"/>
        </w:tabs>
        <w:spacing w:before="179" w:after="0" w:line="240" w:lineRule="auto"/>
        <w:ind w:left="2014" w:right="0" w:hanging="483"/>
        <w:jc w:val="left"/>
        <w:rPr>
          <w:sz w:val="32"/>
        </w:rPr>
      </w:pPr>
      <w:r>
        <w:rPr>
          <w:sz w:val="32"/>
        </w:rPr>
        <w:t>少先队辅导员政治素质提升路径研究</w:t>
      </w:r>
    </w:p>
    <w:p>
      <w:pPr>
        <w:pStyle w:val="6"/>
        <w:numPr>
          <w:ilvl w:val="0"/>
          <w:numId w:val="3"/>
        </w:numPr>
        <w:tabs>
          <w:tab w:val="left" w:pos="2015"/>
        </w:tabs>
        <w:spacing w:before="175" w:after="0" w:line="240" w:lineRule="auto"/>
        <w:ind w:left="2014" w:right="0" w:hanging="483"/>
        <w:jc w:val="left"/>
        <w:rPr>
          <w:sz w:val="32"/>
        </w:rPr>
      </w:pPr>
      <w:r>
        <w:rPr>
          <w:sz w:val="32"/>
        </w:rPr>
        <w:t>中队辅导员组织管理研究</w:t>
      </w:r>
    </w:p>
    <w:p>
      <w:pPr>
        <w:pStyle w:val="6"/>
        <w:numPr>
          <w:ilvl w:val="0"/>
          <w:numId w:val="3"/>
        </w:numPr>
        <w:tabs>
          <w:tab w:val="left" w:pos="2015"/>
        </w:tabs>
        <w:spacing w:before="178" w:after="0" w:line="240" w:lineRule="auto"/>
        <w:ind w:left="2014" w:right="0" w:hanging="483"/>
        <w:jc w:val="left"/>
        <w:rPr>
          <w:sz w:val="32"/>
        </w:rPr>
      </w:pPr>
      <w:r>
        <w:rPr>
          <w:sz w:val="32"/>
        </w:rPr>
        <w:t>发挥新媒体优势创新少先队工作实践研究</w:t>
      </w:r>
    </w:p>
    <w:p>
      <w:pPr>
        <w:pStyle w:val="6"/>
        <w:numPr>
          <w:ilvl w:val="0"/>
          <w:numId w:val="3"/>
        </w:numPr>
        <w:tabs>
          <w:tab w:val="left" w:pos="2015"/>
        </w:tabs>
        <w:spacing w:before="176" w:after="0" w:line="240" w:lineRule="auto"/>
        <w:ind w:left="2014" w:right="0" w:hanging="483"/>
        <w:jc w:val="left"/>
        <w:rPr>
          <w:sz w:val="32"/>
        </w:rPr>
      </w:pPr>
      <w:r>
        <w:rPr>
          <w:sz w:val="32"/>
        </w:rPr>
        <w:t>少先队品牌化建设研究（少年军校、少年科学院）</w:t>
      </w:r>
    </w:p>
    <w:p>
      <w:pPr>
        <w:pStyle w:val="6"/>
        <w:numPr>
          <w:ilvl w:val="0"/>
          <w:numId w:val="3"/>
        </w:numPr>
        <w:tabs>
          <w:tab w:val="left" w:pos="2015"/>
        </w:tabs>
        <w:spacing w:before="178" w:after="0" w:line="240" w:lineRule="auto"/>
        <w:ind w:left="2014" w:right="0" w:hanging="483"/>
        <w:jc w:val="left"/>
        <w:rPr>
          <w:sz w:val="32"/>
        </w:rPr>
      </w:pPr>
      <w:r>
        <w:rPr>
          <w:sz w:val="32"/>
        </w:rPr>
        <w:t>少先队组织落实“双减”政策有关问题研究</w:t>
      </w:r>
    </w:p>
    <w:p>
      <w:pPr>
        <w:pStyle w:val="6"/>
        <w:numPr>
          <w:ilvl w:val="0"/>
          <w:numId w:val="3"/>
        </w:numPr>
        <w:tabs>
          <w:tab w:val="left" w:pos="2015"/>
        </w:tabs>
        <w:spacing w:before="178" w:after="0" w:line="240" w:lineRule="auto"/>
        <w:ind w:left="2014" w:right="0" w:hanging="483"/>
        <w:jc w:val="left"/>
        <w:rPr>
          <w:sz w:val="32"/>
        </w:rPr>
      </w:pPr>
      <w:r>
        <w:rPr>
          <w:sz w:val="32"/>
        </w:rPr>
        <w:t>少先队仪式规范化与育人功能发挥研究</w:t>
      </w:r>
    </w:p>
    <w:p>
      <w:pPr>
        <w:pStyle w:val="6"/>
        <w:numPr>
          <w:ilvl w:val="0"/>
          <w:numId w:val="3"/>
        </w:numPr>
        <w:tabs>
          <w:tab w:val="left" w:pos="2015"/>
        </w:tabs>
        <w:spacing w:before="176" w:after="0" w:line="240" w:lineRule="auto"/>
        <w:ind w:left="2014" w:right="0" w:hanging="483"/>
        <w:jc w:val="left"/>
        <w:rPr>
          <w:sz w:val="32"/>
        </w:rPr>
      </w:pPr>
      <w:r>
        <w:rPr>
          <w:sz w:val="32"/>
        </w:rPr>
        <w:t>校外少先队辅导员队伍建设研究</w:t>
      </w:r>
    </w:p>
    <w:p>
      <w:pPr>
        <w:pStyle w:val="6"/>
        <w:numPr>
          <w:ilvl w:val="0"/>
          <w:numId w:val="3"/>
        </w:numPr>
        <w:tabs>
          <w:tab w:val="left" w:pos="2015"/>
        </w:tabs>
        <w:spacing w:before="178" w:after="0" w:line="240" w:lineRule="auto"/>
        <w:ind w:left="2014" w:right="0" w:hanging="483"/>
        <w:jc w:val="left"/>
        <w:rPr>
          <w:sz w:val="32"/>
        </w:rPr>
      </w:pPr>
      <w:r>
        <w:rPr>
          <w:sz w:val="32"/>
        </w:rPr>
        <w:t>社区少工委建设和作用发挥的研究</w:t>
      </w:r>
    </w:p>
    <w:p>
      <w:pPr>
        <w:pStyle w:val="6"/>
        <w:numPr>
          <w:ilvl w:val="0"/>
          <w:numId w:val="3"/>
        </w:numPr>
        <w:tabs>
          <w:tab w:val="left" w:pos="2015"/>
        </w:tabs>
        <w:spacing w:before="176" w:after="0" w:line="240" w:lineRule="auto"/>
        <w:ind w:left="2014" w:right="0" w:hanging="483"/>
        <w:jc w:val="left"/>
        <w:rPr>
          <w:sz w:val="32"/>
        </w:rPr>
      </w:pPr>
      <w:r>
        <w:rPr>
          <w:sz w:val="32"/>
        </w:rPr>
        <w:t>少先队社会化工作体系构建资源整合的研究</w:t>
      </w:r>
    </w:p>
    <w:p>
      <w:pPr>
        <w:pStyle w:val="3"/>
        <w:spacing w:before="178"/>
        <w:ind w:left="1532"/>
      </w:pPr>
      <w:r>
        <w:rPr>
          <w:w w:val="95"/>
        </w:rPr>
        <w:t>四、教育资源保障专项课题指南</w:t>
      </w:r>
    </w:p>
    <w:p>
      <w:pPr>
        <w:pStyle w:val="6"/>
        <w:numPr>
          <w:ilvl w:val="0"/>
          <w:numId w:val="4"/>
        </w:numPr>
        <w:tabs>
          <w:tab w:val="left" w:pos="1854"/>
        </w:tabs>
        <w:spacing w:before="175" w:after="0" w:line="240" w:lineRule="auto"/>
        <w:ind w:left="1854" w:right="0" w:hanging="322"/>
        <w:jc w:val="left"/>
        <w:rPr>
          <w:sz w:val="32"/>
        </w:rPr>
      </w:pPr>
      <w:r>
        <w:rPr>
          <w:w w:val="95"/>
          <w:sz w:val="32"/>
        </w:rPr>
        <w:t>推动县域城乡义务教育资源保障一体化研究</w:t>
      </w:r>
    </w:p>
    <w:p>
      <w:pPr>
        <w:pStyle w:val="6"/>
        <w:numPr>
          <w:ilvl w:val="0"/>
          <w:numId w:val="4"/>
        </w:numPr>
        <w:tabs>
          <w:tab w:val="left" w:pos="1854"/>
        </w:tabs>
        <w:spacing w:before="178" w:after="0" w:line="240" w:lineRule="auto"/>
        <w:ind w:left="1854" w:right="0" w:hanging="322"/>
        <w:jc w:val="left"/>
        <w:rPr>
          <w:sz w:val="32"/>
        </w:rPr>
      </w:pPr>
      <w:r>
        <w:rPr>
          <w:w w:val="95"/>
          <w:sz w:val="32"/>
        </w:rPr>
        <w:t>普通高中学科基地建设中教育装备配置研究</w:t>
      </w:r>
    </w:p>
    <w:p>
      <w:pPr>
        <w:pStyle w:val="6"/>
        <w:numPr>
          <w:ilvl w:val="0"/>
          <w:numId w:val="4"/>
        </w:numPr>
        <w:tabs>
          <w:tab w:val="left" w:pos="1854"/>
        </w:tabs>
        <w:spacing w:before="179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自制教玩具在学前教育教学活动中的价值研究</w:t>
      </w:r>
    </w:p>
    <w:p>
      <w:pPr>
        <w:pStyle w:val="6"/>
        <w:numPr>
          <w:ilvl w:val="0"/>
          <w:numId w:val="4"/>
        </w:numPr>
        <w:tabs>
          <w:tab w:val="left" w:pos="1854"/>
        </w:tabs>
        <w:spacing w:before="175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中小学教育装备的配置现状及适用性研究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80" w:right="440" w:bottom="1960" w:left="640" w:header="0" w:footer="1779" w:gutter="0"/>
          <w:cols w:space="720" w:num="1"/>
        </w:sectPr>
      </w:pPr>
    </w:p>
    <w:p>
      <w:pPr>
        <w:pStyle w:val="6"/>
        <w:numPr>
          <w:ilvl w:val="0"/>
          <w:numId w:val="4"/>
        </w:numPr>
        <w:tabs>
          <w:tab w:val="left" w:pos="1854"/>
        </w:tabs>
        <w:spacing w:before="136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教育装备采购与验收工作机制研究</w:t>
      </w:r>
    </w:p>
    <w:p>
      <w:pPr>
        <w:pStyle w:val="6"/>
        <w:numPr>
          <w:ilvl w:val="0"/>
          <w:numId w:val="4"/>
        </w:numPr>
        <w:tabs>
          <w:tab w:val="left" w:pos="1854"/>
        </w:tabs>
        <w:spacing w:before="178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校服质量控制与采购模式研究</w:t>
      </w:r>
    </w:p>
    <w:p>
      <w:pPr>
        <w:pStyle w:val="6"/>
        <w:numPr>
          <w:ilvl w:val="0"/>
          <w:numId w:val="4"/>
        </w:numPr>
        <w:tabs>
          <w:tab w:val="left" w:pos="1854"/>
        </w:tabs>
        <w:spacing w:before="176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中小学生图书馆质量提升及品牌建设研究</w:t>
      </w:r>
    </w:p>
    <w:p>
      <w:pPr>
        <w:pStyle w:val="6"/>
        <w:numPr>
          <w:ilvl w:val="0"/>
          <w:numId w:val="4"/>
        </w:numPr>
        <w:tabs>
          <w:tab w:val="left" w:pos="1854"/>
        </w:tabs>
        <w:spacing w:before="178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中小学理化生实验操作数字化考评研究</w:t>
      </w:r>
    </w:p>
    <w:p>
      <w:pPr>
        <w:pStyle w:val="6"/>
        <w:numPr>
          <w:ilvl w:val="0"/>
          <w:numId w:val="4"/>
        </w:numPr>
        <w:tabs>
          <w:tab w:val="left" w:pos="1854"/>
        </w:tabs>
        <w:spacing w:before="175" w:after="0" w:line="240" w:lineRule="auto"/>
        <w:ind w:left="1854" w:right="0" w:hanging="322"/>
        <w:jc w:val="left"/>
        <w:rPr>
          <w:sz w:val="32"/>
        </w:rPr>
      </w:pPr>
      <w:r>
        <w:rPr>
          <w:sz w:val="32"/>
        </w:rPr>
        <w:t>新高考背景下数据驱动的教学质量提升研究</w:t>
      </w:r>
    </w:p>
    <w:p>
      <w:pPr>
        <w:pStyle w:val="6"/>
        <w:numPr>
          <w:ilvl w:val="0"/>
          <w:numId w:val="4"/>
        </w:numPr>
        <w:tabs>
          <w:tab w:val="left" w:pos="2015"/>
        </w:tabs>
        <w:spacing w:before="179" w:after="0" w:line="240" w:lineRule="auto"/>
        <w:ind w:left="2014" w:right="0" w:hanging="483"/>
        <w:jc w:val="left"/>
        <w:rPr>
          <w:sz w:val="32"/>
        </w:rPr>
      </w:pPr>
      <w:r>
        <w:rPr>
          <w:sz w:val="32"/>
        </w:rPr>
        <w:t>中小学劳动教育特色课程资源开发研究</w:t>
      </w:r>
    </w:p>
    <w:p>
      <w:pPr>
        <w:pStyle w:val="6"/>
        <w:numPr>
          <w:ilvl w:val="0"/>
          <w:numId w:val="4"/>
        </w:numPr>
        <w:tabs>
          <w:tab w:val="left" w:pos="2015"/>
        </w:tabs>
        <w:spacing w:before="176" w:after="0" w:line="240" w:lineRule="auto"/>
        <w:ind w:left="2014" w:right="0" w:hanging="483"/>
        <w:jc w:val="left"/>
        <w:rPr>
          <w:sz w:val="32"/>
        </w:rPr>
      </w:pPr>
      <w:r>
        <w:rPr>
          <w:sz w:val="32"/>
        </w:rPr>
        <w:t>可视化基础教育资源保障服务平台数据研究</w:t>
      </w:r>
    </w:p>
    <w:p>
      <w:pPr>
        <w:pStyle w:val="6"/>
        <w:numPr>
          <w:ilvl w:val="0"/>
          <w:numId w:val="4"/>
        </w:numPr>
        <w:tabs>
          <w:tab w:val="left" w:pos="2015"/>
        </w:tabs>
        <w:spacing w:before="177" w:after="0" w:line="240" w:lineRule="auto"/>
        <w:ind w:left="2014" w:right="0" w:hanging="483"/>
        <w:jc w:val="left"/>
        <w:rPr>
          <w:sz w:val="32"/>
        </w:rPr>
      </w:pPr>
      <w:r>
        <w:rPr>
          <w:sz w:val="32"/>
        </w:rPr>
        <w:t>中小学实验教学评价研究</w:t>
      </w:r>
    </w:p>
    <w:p>
      <w:pPr>
        <w:pStyle w:val="6"/>
        <w:numPr>
          <w:ilvl w:val="0"/>
          <w:numId w:val="4"/>
        </w:numPr>
        <w:tabs>
          <w:tab w:val="left" w:pos="2015"/>
        </w:tabs>
        <w:spacing w:before="179" w:after="0" w:line="240" w:lineRule="auto"/>
        <w:ind w:left="2014" w:right="0" w:hanging="483"/>
        <w:jc w:val="left"/>
        <w:rPr>
          <w:sz w:val="32"/>
        </w:rPr>
      </w:pPr>
      <w:r>
        <w:rPr>
          <w:spacing w:val="5"/>
          <w:w w:val="95"/>
          <w:sz w:val="32"/>
        </w:rPr>
        <w:t>教育信息化</w:t>
      </w:r>
      <w:r>
        <w:rPr>
          <w:w w:val="95"/>
          <w:sz w:val="32"/>
        </w:rPr>
        <w:t>2.0背景下基础教育资源建设研究</w:t>
      </w:r>
    </w:p>
    <w:p>
      <w:pPr>
        <w:pStyle w:val="6"/>
        <w:numPr>
          <w:ilvl w:val="0"/>
          <w:numId w:val="4"/>
        </w:numPr>
        <w:tabs>
          <w:tab w:val="left" w:pos="2015"/>
        </w:tabs>
        <w:spacing w:before="175" w:after="0" w:line="240" w:lineRule="auto"/>
        <w:ind w:left="2014" w:right="0" w:hanging="483"/>
        <w:jc w:val="left"/>
        <w:rPr>
          <w:sz w:val="32"/>
        </w:rPr>
      </w:pPr>
      <w:r>
        <w:rPr>
          <w:sz w:val="32"/>
        </w:rPr>
        <w:t>中小学创客教育研究</w:t>
      </w:r>
    </w:p>
    <w:p>
      <w:pPr>
        <w:pStyle w:val="6"/>
        <w:numPr>
          <w:ilvl w:val="0"/>
          <w:numId w:val="4"/>
        </w:numPr>
        <w:tabs>
          <w:tab w:val="left" w:pos="2015"/>
        </w:tabs>
        <w:spacing w:before="178" w:after="0" w:line="240" w:lineRule="auto"/>
        <w:ind w:left="2014" w:right="0" w:hanging="483"/>
        <w:jc w:val="left"/>
        <w:rPr>
          <w:sz w:val="32"/>
        </w:rPr>
      </w:pPr>
      <w:r>
        <w:rPr>
          <w:sz w:val="32"/>
        </w:rPr>
        <w:t>中小学人工智能教育研究</w:t>
      </w:r>
    </w:p>
    <w:p>
      <w:pPr>
        <w:pStyle w:val="6"/>
        <w:numPr>
          <w:ilvl w:val="0"/>
          <w:numId w:val="4"/>
        </w:numPr>
        <w:tabs>
          <w:tab w:val="left" w:pos="2015"/>
        </w:tabs>
        <w:spacing w:before="176" w:after="0" w:line="240" w:lineRule="auto"/>
        <w:ind w:left="2014" w:right="0" w:hanging="483"/>
        <w:jc w:val="left"/>
        <w:rPr>
          <w:sz w:val="32"/>
        </w:rPr>
      </w:pPr>
      <w:r>
        <w:rPr>
          <w:sz w:val="32"/>
        </w:rPr>
        <w:t>中小学研学旅行精品课程研究</w:t>
      </w:r>
    </w:p>
    <w:p>
      <w:pPr>
        <w:pStyle w:val="3"/>
      </w:pPr>
    </w:p>
    <w:p>
      <w:pPr>
        <w:pStyle w:val="3"/>
        <w:spacing w:before="10"/>
        <w:rPr>
          <w:sz w:val="27"/>
        </w:rPr>
      </w:pPr>
    </w:p>
    <w:p>
      <w:pPr>
        <w:pStyle w:val="3"/>
        <w:spacing w:line="343" w:lineRule="auto"/>
        <w:ind w:left="891" w:right="921" w:firstLine="640"/>
        <w:jc w:val="both"/>
      </w:pPr>
      <w:r>
        <w:rPr>
          <w:w w:val="95"/>
        </w:rPr>
        <w:t>注：上述指南仅是专项课题的选题方向，申请者不应直接将其作为课题名称，可根据指南提供的方向，结合申报人的研究兴</w:t>
      </w:r>
      <w:r>
        <w:t>趣、经验和拟解决的具体问题等确定申报课题。</w:t>
      </w:r>
    </w:p>
    <w:p>
      <w:pPr>
        <w:spacing w:after="0" w:line="343" w:lineRule="auto"/>
        <w:jc w:val="both"/>
        <w:sectPr>
          <w:pgSz w:w="11910" w:h="16840"/>
          <w:pgMar w:top="1580" w:right="440" w:bottom="1960" w:left="640" w:header="0" w:footer="1779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854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756" w:hanging="3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653" w:hanging="3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549" w:hanging="3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446" w:hanging="3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343" w:hanging="3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239" w:hanging="3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136" w:hanging="3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033" w:hanging="322"/>
      </w:pPr>
      <w:rPr>
        <w:rFonts w:hint="default"/>
        <w:lang w:val="en-US" w:eastAsia="zh-CN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854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756" w:hanging="3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653" w:hanging="3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549" w:hanging="3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446" w:hanging="3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343" w:hanging="3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239" w:hanging="3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136" w:hanging="3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033" w:hanging="322"/>
      </w:pPr>
      <w:rPr>
        <w:rFonts w:hint="default"/>
        <w:lang w:val="en-US" w:eastAsia="zh-CN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854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756" w:hanging="3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653" w:hanging="3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549" w:hanging="3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446" w:hanging="3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343" w:hanging="3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239" w:hanging="3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136" w:hanging="3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033" w:hanging="322"/>
      </w:pPr>
      <w:rPr>
        <w:rFonts w:hint="default"/>
        <w:lang w:val="en-US" w:eastAsia="zh-CN" w:bidi="ar-SA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854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756" w:hanging="3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653" w:hanging="3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549" w:hanging="3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446" w:hanging="3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343" w:hanging="3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239" w:hanging="3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136" w:hanging="3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033" w:hanging="322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TUwODg4ZTBlZmI5NzkzYWIxMTZmYzEyYTAyOTQifQ=="/>
  </w:docVars>
  <w:rsids>
    <w:rsidRoot w:val="11376990"/>
    <w:rsid w:val="11376990"/>
    <w:rsid w:val="42E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6">
    <w:name w:val="List Paragraph"/>
    <w:basedOn w:val="1"/>
    <w:qFormat/>
    <w:uiPriority w:val="1"/>
    <w:pPr>
      <w:spacing w:before="178"/>
      <w:ind w:left="1854" w:hanging="322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917</Words>
  <Characters>922</Characters>
  <Lines>0</Lines>
  <Paragraphs>0</Paragraphs>
  <TotalTime>1</TotalTime>
  <ScaleCrop>false</ScaleCrop>
  <LinksUpToDate>false</LinksUpToDate>
  <CharactersWithSpaces>922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2022-07-13T08:05:00Z</dcterms:created>
  <dc:creator>花开那年</dc:creator>
  <cp:lastModifiedBy>司楠Sonia</cp:lastModifiedBy>
  <dcterms:modified xsi:type="dcterms:W3CDTF">2022-07-13T09:10:48Z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1AC3D86ABBA74AB3AE404E784244496F</vt:lpwstr>
  </property>
</Properties>
</file>