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</w:t>
      </w:r>
    </w:p>
    <w:p>
      <w:pPr>
        <w:rPr>
          <w:rFonts w:ascii="仿宋" w:hAnsi="仿宋" w:eastAsia="仿宋"/>
          <w:sz w:val="32"/>
        </w:rPr>
      </w:pPr>
    </w:p>
    <w:p>
      <w:pPr>
        <w:tabs>
          <w:tab w:val="center" w:pos="4153"/>
        </w:tabs>
        <w:jc w:val="center"/>
        <w:rPr>
          <w:rFonts w:ascii="黑体" w:hAnsi="黑体" w:eastAsia="黑体" w:cs="黑体"/>
          <w:sz w:val="44"/>
          <w:szCs w:val="52"/>
        </w:rPr>
      </w:pPr>
      <w:bookmarkStart w:id="0" w:name="_GoBack"/>
      <w:r>
        <w:rPr>
          <w:rFonts w:hint="eastAsia" w:ascii="黑体" w:hAnsi="黑体" w:eastAsia="黑体" w:cs="黑体"/>
          <w:sz w:val="44"/>
          <w:szCs w:val="52"/>
        </w:rPr>
        <w:t>郑州财经学院202</w:t>
      </w:r>
      <w:r>
        <w:rPr>
          <w:rFonts w:ascii="黑体" w:hAnsi="黑体" w:eastAsia="黑体" w:cs="黑体"/>
          <w:sz w:val="44"/>
          <w:szCs w:val="52"/>
        </w:rPr>
        <w:t>3</w:t>
      </w:r>
      <w:r>
        <w:rPr>
          <w:rFonts w:hint="eastAsia" w:ascii="黑体" w:hAnsi="黑体" w:eastAsia="黑体" w:cs="黑体"/>
          <w:sz w:val="44"/>
          <w:szCs w:val="52"/>
        </w:rPr>
        <w:t>级新生“入学教育”</w:t>
      </w:r>
    </w:p>
    <w:p>
      <w:pPr>
        <w:tabs>
          <w:tab w:val="center" w:pos="4153"/>
        </w:tabs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视频制作标准</w:t>
      </w:r>
      <w:bookmarkEnd w:id="0"/>
    </w:p>
    <w:p>
      <w:pPr>
        <w:tabs>
          <w:tab w:val="center" w:pos="4153"/>
        </w:tabs>
        <w:rPr>
          <w:rFonts w:ascii="Calibri" w:hAnsi="Calibri" w:eastAsia="宋体" w:cs="Times New Roman"/>
          <w:szCs w:val="24"/>
        </w:rPr>
      </w:pPr>
    </w:p>
    <w:p>
      <w:pPr>
        <w:tabs>
          <w:tab w:val="center" w:pos="4153"/>
        </w:tabs>
        <w:rPr>
          <w:rFonts w:ascii="Calibri" w:hAnsi="Calibri" w:eastAsia="宋体" w:cs="Times New Roman"/>
          <w:szCs w:val="24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一、面向对象：</w:t>
      </w: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级新生（包含专升本、专科）</w:t>
      </w:r>
    </w:p>
    <w:p>
      <w:pPr>
        <w:spacing w:after="120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Times New Roman"/>
          <w:sz w:val="32"/>
        </w:rPr>
        <w:t>二、时间跨度：</w:t>
      </w: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年9月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Times New Roman"/>
          <w:sz w:val="32"/>
        </w:rPr>
        <w:t>三、制作原则：</w:t>
      </w:r>
      <w:r>
        <w:rPr>
          <w:rFonts w:hint="eastAsia" w:ascii="仿宋_GB2312" w:hAnsi="仿宋_GB2312" w:eastAsia="仿宋_GB2312" w:cs="仿宋_GB2312"/>
          <w:sz w:val="32"/>
        </w:rPr>
        <w:t>规范性、生动性、启发性、教育性</w:t>
      </w:r>
    </w:p>
    <w:p>
      <w:pPr>
        <w:ind w:firstLine="420" w:firstLineChars="200"/>
        <w:rPr>
          <w:rFonts w:ascii="黑体" w:hAnsi="黑体" w:eastAsia="黑体" w:cs="Times New Roman"/>
          <w:sz w:val="32"/>
        </w:rPr>
      </w:pPr>
      <w:r>
        <w:rPr>
          <w:rFonts w:hint="eastAsia" w:ascii="Calibri" w:hAnsi="Calibri" w:eastAsia="宋体" w:cs="Times New Roman"/>
          <w:szCs w:val="24"/>
        </w:rPr>
        <w:t xml:space="preserve">  </w:t>
      </w:r>
      <w:r>
        <w:rPr>
          <w:rFonts w:hint="eastAsia" w:ascii="黑体" w:hAnsi="黑体" w:eastAsia="黑体" w:cs="Times New Roman"/>
          <w:sz w:val="32"/>
        </w:rPr>
        <w:t>四、具体要求：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1.视频时长：要求在8—10分钟之间，可根据具体情况微调。</w:t>
      </w:r>
    </w:p>
    <w:p>
      <w:pPr>
        <w:spacing w:after="120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2.视频结构：“统一</w:t>
      </w:r>
      <w:r>
        <w:rPr>
          <w:rFonts w:hint="eastAsia" w:ascii="仿宋_GB2312" w:hAnsi="仿宋_GB2312" w:eastAsia="仿宋_GB2312" w:cs="仿宋_GB2312"/>
          <w:color w:val="0000FF"/>
          <w:sz w:val="32"/>
        </w:rPr>
        <w:t>开场视频</w:t>
      </w:r>
      <w:r>
        <w:rPr>
          <w:rFonts w:hint="eastAsia" w:ascii="仿宋_GB2312" w:hAnsi="仿宋_GB2312" w:eastAsia="仿宋_GB2312" w:cs="仿宋_GB2312"/>
          <w:sz w:val="32"/>
        </w:rPr>
        <w:t>”+“</w:t>
      </w:r>
      <w:r>
        <w:rPr>
          <w:rFonts w:hint="eastAsia" w:ascii="仿宋_GB2312" w:hAnsi="仿宋_GB2312" w:eastAsia="仿宋_GB2312" w:cs="仿宋_GB2312"/>
          <w:color w:val="0000FF"/>
          <w:sz w:val="32"/>
        </w:rPr>
        <w:t>引入主题</w:t>
      </w:r>
      <w:r>
        <w:rPr>
          <w:rFonts w:hint="eastAsia" w:ascii="仿宋_GB2312" w:hAnsi="仿宋_GB2312" w:eastAsia="仿宋_GB2312" w:cs="仿宋_GB2312"/>
          <w:sz w:val="32"/>
        </w:rPr>
        <w:t>”（统一全身或半身入镜）+“</w:t>
      </w:r>
      <w:r>
        <w:rPr>
          <w:rFonts w:hint="eastAsia" w:ascii="仿宋_GB2312" w:hAnsi="仿宋_GB2312" w:eastAsia="仿宋_GB2312" w:cs="仿宋_GB2312"/>
          <w:color w:val="0000FF"/>
          <w:sz w:val="32"/>
        </w:rPr>
        <w:t>ppt讲解录屏</w:t>
      </w:r>
      <w:r>
        <w:rPr>
          <w:rFonts w:hint="eastAsia" w:ascii="仿宋_GB2312" w:hAnsi="仿宋_GB2312" w:eastAsia="仿宋_GB2312" w:cs="仿宋_GB2312"/>
          <w:sz w:val="32"/>
        </w:rPr>
        <w:t>”+“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出镜转场</w:t>
      </w:r>
      <w:r>
        <w:rPr>
          <w:rFonts w:hint="eastAsia" w:ascii="仿宋_GB2312" w:hAnsi="仿宋_GB2312" w:eastAsia="仿宋_GB2312" w:cs="仿宋_GB2312"/>
          <w:sz w:val="32"/>
        </w:rPr>
        <w:t>”+“ppt讲解录屏”+“</w:t>
      </w:r>
      <w:r>
        <w:rPr>
          <w:rFonts w:hint="eastAsia" w:ascii="仿宋_GB2312" w:hAnsi="仿宋_GB2312" w:eastAsia="仿宋_GB2312" w:cs="仿宋_GB2312"/>
          <w:color w:val="0000FF"/>
          <w:sz w:val="32"/>
        </w:rPr>
        <w:t>出镜总结</w:t>
      </w:r>
      <w:r>
        <w:rPr>
          <w:rFonts w:hint="eastAsia" w:ascii="仿宋_GB2312" w:hAnsi="仿宋_GB2312" w:eastAsia="仿宋_GB2312" w:cs="仿宋_GB2312"/>
          <w:sz w:val="32"/>
        </w:rPr>
        <w:t>”。</w:t>
      </w:r>
    </w:p>
    <w:p>
      <w:pPr>
        <w:spacing w:after="120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（1）“统一开场”制作特定开场视频；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（2）引入主题开场，统一做如下表述：“</w:t>
      </w:r>
      <w:r>
        <w:rPr>
          <w:rFonts w:hint="eastAsia" w:ascii="仿宋_GB2312" w:hAnsi="仿宋_GB2312" w:eastAsia="仿宋_GB2312" w:cs="仿宋_GB2312"/>
          <w:color w:val="FF0000"/>
          <w:sz w:val="32"/>
        </w:rPr>
        <w:t>启迪人生智慧，点亮青春梦想”。</w:t>
      </w:r>
      <w:r>
        <w:rPr>
          <w:rFonts w:hint="eastAsia" w:ascii="仿宋_GB2312" w:hAnsi="仿宋_GB2312" w:eastAsia="仿宋_GB2312" w:cs="仿宋_GB2312"/>
          <w:sz w:val="32"/>
        </w:rPr>
        <w:t>各位2023级新生同学们大家好，欢迎来到郑州财经学院迎新生特别节目“</w:t>
      </w:r>
      <w:r>
        <w:rPr>
          <w:rFonts w:hint="eastAsia" w:ascii="仿宋_GB2312" w:hAnsi="仿宋_GB2312" w:eastAsia="仿宋_GB2312" w:cs="仿宋_GB2312"/>
          <w:color w:val="FF0000"/>
          <w:sz w:val="32"/>
        </w:rPr>
        <w:t>学海指津</w:t>
      </w:r>
      <w:r>
        <w:rPr>
          <w:rFonts w:hint="eastAsia" w:ascii="仿宋_GB2312" w:hAnsi="仿宋_GB2312" w:eastAsia="仿宋_GB2312" w:cs="仿宋_GB2312"/>
          <w:sz w:val="32"/>
        </w:rPr>
        <w:t>”栏目，我是本期节目主讲人</w:t>
      </w:r>
      <w:r>
        <w:rPr>
          <w:rFonts w:ascii="仿宋_GB2312" w:hAnsi="仿宋_GB2312" w:eastAsia="仿宋_GB2312" w:cs="仿宋_GB2312"/>
          <w:sz w:val="32"/>
        </w:rPr>
        <w:t>…</w:t>
      </w:r>
      <w:r>
        <w:rPr>
          <w:rFonts w:hint="eastAsia" w:ascii="仿宋_GB2312" w:hAnsi="仿宋_GB2312" w:eastAsia="仿宋_GB2312" w:cs="仿宋_GB2312"/>
          <w:sz w:val="32"/>
        </w:rPr>
        <w:t>，今天要讲的主题是</w:t>
      </w:r>
      <w:r>
        <w:rPr>
          <w:rFonts w:ascii="仿宋_GB2312" w:hAnsi="仿宋_GB2312" w:eastAsia="仿宋_GB2312" w:cs="仿宋_GB2312"/>
          <w:sz w:val="32"/>
        </w:rPr>
        <w:t>…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3）ppt录屏讲解环节已经制作好ppt模板，色调可根据主题进行调换，ppt讲解部分应尽量以图片、表格、总结试汇总为主，避免大量文字堆砌，尽量生动形象，以贴近学生的话语方式和视角，贴近学生，吸引学生。视频录制时，“主讲人”和“录屏计时提醒”不要出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（4）转场出镜方式，可以是固定身位讲解，也可以是在校园内标志性建筑处边走边讲。</w:t>
      </w:r>
    </w:p>
    <w:p>
      <w:pPr>
        <w:spacing w:after="120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（5）总结时跟开场引入主题场景一致，均须出镜，片尾呈现主讲人、课题主成员和视频拍摄人、制作人的名字。</w:t>
      </w:r>
    </w:p>
    <w:p>
      <w:pPr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（6）“开场引入”、“中间转场”和“片尾总结”在学校录播教室统一录制，PPT讲解由主讲人自行录制，各部分内容均录制完成后，由学校安排专人统一合成。</w:t>
      </w:r>
    </w:p>
    <w:p>
      <w:pPr>
        <w:spacing w:after="120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3.为保证讲解风格统一，建议每个主题可安排专门人员主讲，即主讲人可以不是资料整理和PPT制作者。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4.视频拍摄、录屏时，前后注意定格留白，方便后期剪辑。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5.避免全程播放动画，因可能涉及版权问题，如果有条件，某些片段可找学生专门拍摄场景小视频。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6.视频制作过程中注意使用新式校徽，校风校训的使用不能有错别字。</w:t>
      </w:r>
    </w:p>
    <w:p>
      <w:pPr>
        <w:ind w:firstLine="640" w:firstLineChars="200"/>
        <w:rPr>
          <w:rFonts w:ascii="仿宋" w:hAnsi="仿宋" w:eastAsia="仿宋"/>
          <w:sz w:val="32"/>
        </w:rPr>
      </w:pPr>
    </w:p>
    <w:p/>
    <w:sectPr>
      <w:footerReference r:id="rId3" w:type="default"/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23162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zJlODNiYzgzYjZkYmRiNGVjODU2MWNkYmU0MzgifQ=="/>
  </w:docVars>
  <w:rsids>
    <w:rsidRoot w:val="31E54A34"/>
    <w:rsid w:val="31E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2023-09-12T02:16:00Z</dcterms:created>
  <dc:creator>白山茶</dc:creator>
  <cp:lastModifiedBy>白山茶</cp:lastModifiedBy>
  <dcterms:modified xsi:type="dcterms:W3CDTF">2023-09-12T02:16:55Z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C0B2CE7FB6034436917783F8C72B6A26_11</vt:lpwstr>
  </property>
</Properties>
</file>