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85" w:line="187" w:lineRule="auto"/>
        <w:ind w:left="2609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48"/>
          <w:sz w:val="43"/>
          <w:szCs w:val="43"/>
        </w:rPr>
        <w:t xml:space="preserve">河 南 省 教 育 </w:t>
      </w:r>
      <w:r>
        <w:rPr>
          <w:rFonts w:ascii="微软雅黑" w:hAnsi="微软雅黑" w:eastAsia="微软雅黑" w:cs="微软雅黑"/>
          <w:spacing w:val="46"/>
          <w:sz w:val="43"/>
          <w:szCs w:val="43"/>
        </w:rPr>
        <w:t>厅</w:t>
      </w:r>
    </w:p>
    <w:p>
      <w:pPr>
        <w:spacing w:before="76" w:line="214" w:lineRule="auto"/>
        <w:ind w:left="142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民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办教育专项课题研究项目指南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0" w:line="352" w:lineRule="auto"/>
        <w:ind w:left="620" w:right="1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民办教育在教育强国、教育强省建设中的地位和作用研究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3"/>
          <w:sz w:val="31"/>
          <w:szCs w:val="31"/>
        </w:rPr>
        <w:t>教育强省建设民办高等教育发展战略研究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选派民办学校党组织负责人实践和思考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4"/>
          <w:sz w:val="31"/>
          <w:szCs w:val="31"/>
        </w:rPr>
        <w:t>4. 民</w:t>
      </w:r>
      <w:r>
        <w:rPr>
          <w:rFonts w:ascii="仿宋" w:hAnsi="仿宋" w:eastAsia="仿宋" w:cs="仿宋"/>
          <w:spacing w:val="3"/>
          <w:sz w:val="31"/>
          <w:szCs w:val="31"/>
        </w:rPr>
        <w:t>办</w:t>
      </w:r>
      <w:r>
        <w:rPr>
          <w:rFonts w:ascii="仿宋" w:hAnsi="仿宋" w:eastAsia="仿宋" w:cs="仿宋"/>
          <w:spacing w:val="2"/>
          <w:sz w:val="31"/>
          <w:szCs w:val="31"/>
        </w:rPr>
        <w:t>高校分类管理面临的主要问题及政策建议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2"/>
          <w:sz w:val="31"/>
          <w:szCs w:val="31"/>
        </w:rPr>
        <w:t>5. 民办学校治理体系和治</w:t>
      </w:r>
      <w:r>
        <w:rPr>
          <w:rFonts w:ascii="仿宋" w:hAnsi="仿宋" w:eastAsia="仿宋" w:cs="仿宋"/>
          <w:spacing w:val="1"/>
          <w:sz w:val="31"/>
          <w:szCs w:val="31"/>
        </w:rPr>
        <w:t>理能力现代化研究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2"/>
          <w:sz w:val="31"/>
          <w:szCs w:val="31"/>
        </w:rPr>
        <w:t>6. 民办教育促进法及实施</w:t>
      </w:r>
      <w:r>
        <w:rPr>
          <w:rFonts w:ascii="仿宋" w:hAnsi="仿宋" w:eastAsia="仿宋" w:cs="仿宋"/>
          <w:spacing w:val="1"/>
          <w:sz w:val="31"/>
          <w:szCs w:val="31"/>
        </w:rPr>
        <w:t>条例实施路径研究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-2"/>
          <w:sz w:val="31"/>
          <w:szCs w:val="31"/>
        </w:rPr>
        <w:t>7. 民</w:t>
      </w:r>
      <w:r>
        <w:rPr>
          <w:rFonts w:ascii="仿宋" w:hAnsi="仿宋" w:eastAsia="仿宋" w:cs="仿宋"/>
          <w:spacing w:val="-1"/>
          <w:sz w:val="31"/>
          <w:szCs w:val="31"/>
        </w:rPr>
        <w:t>办学校章程建设及实施研究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</w:t>
      </w:r>
      <w:r>
        <w:rPr>
          <w:rFonts w:ascii="仿宋" w:hAnsi="仿宋" w:eastAsia="仿宋" w:cs="仿宋"/>
          <w:spacing w:val="1"/>
          <w:sz w:val="31"/>
          <w:szCs w:val="31"/>
        </w:rPr>
        <w:t>8. 民办高校内部治理有关</w:t>
      </w:r>
      <w:r>
        <w:rPr>
          <w:rFonts w:ascii="仿宋" w:hAnsi="仿宋" w:eastAsia="仿宋" w:cs="仿宋"/>
          <w:sz w:val="31"/>
          <w:szCs w:val="31"/>
        </w:rPr>
        <w:t xml:space="preserve">法律问题研究                  </w:t>
      </w:r>
      <w:r>
        <w:rPr>
          <w:rFonts w:ascii="仿宋" w:hAnsi="仿宋" w:eastAsia="仿宋" w:cs="仿宋"/>
          <w:spacing w:val="1"/>
          <w:sz w:val="31"/>
          <w:szCs w:val="31"/>
        </w:rPr>
        <w:t>9. 民办高校内部决策机构</w:t>
      </w:r>
      <w:r>
        <w:rPr>
          <w:rFonts w:ascii="仿宋" w:hAnsi="仿宋" w:eastAsia="仿宋" w:cs="仿宋"/>
          <w:sz w:val="31"/>
          <w:szCs w:val="31"/>
        </w:rPr>
        <w:t xml:space="preserve">存在问题研究                  </w:t>
      </w:r>
      <w:r>
        <w:rPr>
          <w:rFonts w:ascii="仿宋" w:hAnsi="仿宋" w:eastAsia="仿宋" w:cs="仿宋"/>
          <w:spacing w:val="9"/>
          <w:sz w:val="31"/>
          <w:szCs w:val="31"/>
        </w:rPr>
        <w:t>10.民办高校师资队伍建设现状及对策研究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1.民办高校举办者及管理团队素质能力提升研究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2.民办高校提升服务地方经济社会发展能力研究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3.民办高校贯彻党的教育方针推进途径及维度研究</w:t>
      </w:r>
      <w:r>
        <w:rPr>
          <w:rFonts w:ascii="仿宋" w:hAnsi="仿宋" w:eastAsia="仿宋" w:cs="仿宋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9"/>
          <w:sz w:val="31"/>
          <w:szCs w:val="31"/>
        </w:rPr>
        <w:t>14.民办学校规范办学实施路径研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5.年检在规范民办高校办学行为中的功能作用研究</w:t>
      </w:r>
      <w:r>
        <w:rPr>
          <w:rFonts w:ascii="仿宋" w:hAnsi="仿宋" w:eastAsia="仿宋" w:cs="仿宋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9"/>
          <w:sz w:val="31"/>
          <w:szCs w:val="31"/>
        </w:rPr>
        <w:t>16.民办高校教育教学规范管理研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</w:p>
    <w:p>
      <w:pPr>
        <w:sectPr>
          <w:footerReference r:id="rId5" w:type="default"/>
          <w:pgSz w:w="11906" w:h="16838"/>
          <w:pgMar w:top="1431" w:right="1360" w:bottom="1922" w:left="1561" w:header="0" w:footer="1638" w:gutter="0"/>
          <w:pgNumType w:fmt="decimal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88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17.民办高校法律风险防控研究</w:t>
      </w:r>
    </w:p>
    <w:p>
      <w:pPr>
        <w:spacing w:before="100" w:line="352" w:lineRule="auto"/>
        <w:ind w:left="620" w:right="1" w:firstLine="2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18.民办高校高质量发展路径研究</w:t>
      </w:r>
    </w:p>
    <w:p>
      <w:pPr>
        <w:spacing w:before="100" w:line="352" w:lineRule="auto"/>
        <w:ind w:left="620" w:right="1" w:firstLine="2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19.人口形势变化与民办教育发展研究</w:t>
      </w:r>
    </w:p>
    <w:p>
      <w:pPr>
        <w:spacing w:before="100" w:line="352" w:lineRule="auto"/>
        <w:ind w:left="620" w:right="1" w:firstLine="2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20.民办高校激活办学活力路径研究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WU3YTE3OTE2MTY2YzU5YWVhY2QzOTRhOGQ4ODcifQ=="/>
    <w:docVar w:name="KSO_WPS_MARK_KEY" w:val="d2b0da25-0943-4069-a86e-0070f49421bd"/>
  </w:docVars>
  <w:rsids>
    <w:rsidRoot w:val="00000000"/>
    <w:rsid w:val="0A5C1865"/>
    <w:rsid w:val="5A9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416</Characters>
  <Lines>0</Lines>
  <Paragraphs>0</Paragraphs>
  <TotalTime>1</TotalTime>
  <ScaleCrop>false</ScaleCrop>
  <LinksUpToDate>false</LinksUpToDate>
  <CharactersWithSpaces>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2023-12-28T10:07:50Z</dcterms:created>
  <dc:creator>Think</dc:creator>
  <cp:lastModifiedBy>张子羽</cp:lastModifiedBy>
  <dcterms:modified xsi:type="dcterms:W3CDTF">2023-12-28T10:09:10Z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F94E10F290624D579D3172EAD26D5D57</vt:lpwstr>
  </property>
</Properties>
</file>