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83DB9" w14:textId="77777777" w:rsidR="00112B05" w:rsidRDefault="00112B05" w:rsidP="00112B05">
      <w:pPr>
        <w:spacing w:line="600" w:lineRule="exact"/>
        <w:rPr>
          <w:rFonts w:ascii="黑体" w:eastAsia="黑体" w:hAnsi="黑体"/>
          <w:bCs/>
          <w:kern w:val="0"/>
          <w:szCs w:val="32"/>
        </w:rPr>
      </w:pPr>
      <w:r>
        <w:rPr>
          <w:rFonts w:ascii="黑体" w:eastAsia="黑体" w:hAnsi="黑体" w:hint="eastAsia"/>
          <w:bCs/>
          <w:kern w:val="0"/>
          <w:szCs w:val="32"/>
        </w:rPr>
        <w:t>附件</w:t>
      </w:r>
      <w:r>
        <w:rPr>
          <w:rFonts w:ascii="黑体" w:eastAsia="黑体" w:hAnsi="黑体"/>
          <w:bCs/>
          <w:kern w:val="0"/>
          <w:szCs w:val="32"/>
        </w:rPr>
        <w:t>1</w:t>
      </w:r>
    </w:p>
    <w:p w14:paraId="2974E7BB" w14:textId="77777777" w:rsidR="00112B05" w:rsidRDefault="00112B05" w:rsidP="00112B0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</w:rPr>
        <w:t>4年度郑州市反邪教专项课题</w:t>
      </w:r>
      <w:r>
        <w:rPr>
          <w:rFonts w:ascii="方正小标宋简体" w:eastAsia="方正小标宋简体"/>
          <w:sz w:val="44"/>
          <w:szCs w:val="44"/>
        </w:rPr>
        <w:br/>
      </w:r>
      <w:r>
        <w:rPr>
          <w:rFonts w:ascii="方正小标宋简体" w:eastAsia="方正小标宋简体" w:hint="eastAsia"/>
          <w:sz w:val="44"/>
          <w:szCs w:val="44"/>
        </w:rPr>
        <w:t>申报指南</w:t>
      </w:r>
    </w:p>
    <w:p w14:paraId="04EABECA" w14:textId="77777777" w:rsidR="00112B05" w:rsidRDefault="00112B05" w:rsidP="00112B05">
      <w:pPr>
        <w:spacing w:line="570" w:lineRule="exact"/>
        <w:ind w:firstLineChars="200" w:firstLine="643"/>
        <w:rPr>
          <w:rFonts w:ascii="黑体" w:eastAsia="黑体" w:hAnsi="黑体" w:hint="eastAsia"/>
          <w:b/>
          <w:bCs/>
          <w:szCs w:val="32"/>
        </w:rPr>
      </w:pPr>
    </w:p>
    <w:p w14:paraId="3CA5F44B" w14:textId="77777777" w:rsidR="00112B05" w:rsidRDefault="00112B05" w:rsidP="00112B05">
      <w:pPr>
        <w:spacing w:line="570" w:lineRule="exact"/>
        <w:ind w:firstLineChars="200" w:firstLine="640"/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一、新兴邪教、有害气功、精神传销组织活动特征研究</w:t>
      </w:r>
    </w:p>
    <w:p w14:paraId="4599C1D4" w14:textId="77777777" w:rsidR="00112B05" w:rsidRDefault="00112B05" w:rsidP="00112B05">
      <w:pPr>
        <w:spacing w:line="57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研究方向：主要围绕当前新兴邪教组织的新变化、新动向，特别是“精神传销”有害培训活动等的</w:t>
      </w:r>
      <w:r>
        <w:rPr>
          <w:rFonts w:ascii="仿宋_GB2312" w:hAnsi="黑体" w:cs="黑体" w:hint="eastAsia"/>
          <w:szCs w:val="32"/>
        </w:rPr>
        <w:t>特点和危害开展专题研究</w:t>
      </w:r>
      <w:r>
        <w:rPr>
          <w:rFonts w:ascii="仿宋_GB2312" w:hint="eastAsia"/>
          <w:szCs w:val="32"/>
        </w:rPr>
        <w:t>，就反邪教协会组织应对新目标的工作方法、宣传途径等方面提出意见建议，探索实践方法。</w:t>
      </w:r>
    </w:p>
    <w:p w14:paraId="36ADC107" w14:textId="77777777" w:rsidR="00112B05" w:rsidRDefault="00112B05" w:rsidP="00112B05">
      <w:pPr>
        <w:spacing w:line="570" w:lineRule="exact"/>
        <w:ind w:firstLineChars="200" w:firstLine="640"/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二、针对邪教组织主要侵害对象和易受邪教蛊惑、裹挟、侵害的重点人群社会特征和心理特征进行研究</w:t>
      </w:r>
    </w:p>
    <w:p w14:paraId="42D2E94F" w14:textId="77777777" w:rsidR="00112B05" w:rsidRDefault="00112B05" w:rsidP="00112B05">
      <w:pPr>
        <w:spacing w:line="57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研究方向：综合分析近年来邪教侵害案例的受害人群，结合社会学、心理学、经济学等多门学科，对易受害人群进行心理和社会特征识别定位，对受害者的心理和行为模式进行总结，就完善基层邪教组织防控体系、潜在受害人群针对性警示教育、社会矫治与邪教裹挟人员教育转化等提出意见建议。</w:t>
      </w:r>
    </w:p>
    <w:p w14:paraId="304D4548" w14:textId="77777777" w:rsidR="00112B05" w:rsidRDefault="00112B05" w:rsidP="00112B05">
      <w:pPr>
        <w:spacing w:line="570" w:lineRule="exact"/>
        <w:ind w:firstLineChars="200" w:firstLine="640"/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三、利用互联网新媒体防范治理邪教组织问题研究</w:t>
      </w:r>
    </w:p>
    <w:p w14:paraId="1F679CDF" w14:textId="77777777" w:rsidR="00112B05" w:rsidRDefault="00112B05" w:rsidP="00112B05">
      <w:pPr>
        <w:spacing w:line="57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研究方向：全面总结分析利用互联网新媒体防范治理邪教问题的经验做法，特别是新媒体运营手段和具体创新方法，分析自媒体时代反邪教网上斗争存在的短板和不足，就进一步做好新形势下反邪教网上斗争提出意见建议。</w:t>
      </w:r>
    </w:p>
    <w:p w14:paraId="64F9D5F3" w14:textId="77777777" w:rsidR="00112B05" w:rsidRDefault="00112B05" w:rsidP="00112B05">
      <w:pPr>
        <w:spacing w:line="570" w:lineRule="exact"/>
        <w:ind w:firstLineChars="200" w:firstLine="640"/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四、邪教治理政策法律实践问题研究</w:t>
      </w:r>
    </w:p>
    <w:p w14:paraId="5F91BB4B" w14:textId="77777777" w:rsidR="00112B05" w:rsidRDefault="00112B05" w:rsidP="00112B05">
      <w:pPr>
        <w:spacing w:line="570" w:lineRule="exact"/>
        <w:ind w:firstLineChars="200" w:firstLine="640"/>
        <w:rPr>
          <w:rFonts w:ascii="仿宋_GB2312" w:hAnsi="黑体" w:cs="黑体"/>
          <w:szCs w:val="32"/>
        </w:rPr>
      </w:pPr>
      <w:r>
        <w:rPr>
          <w:rFonts w:ascii="仿宋_GB2312" w:hAnsi="黑体" w:cs="黑体" w:hint="eastAsia"/>
          <w:szCs w:val="32"/>
        </w:rPr>
        <w:t>研究方</w:t>
      </w:r>
      <w:r>
        <w:rPr>
          <w:rFonts w:ascii="仿宋_GB2312" w:hint="eastAsia"/>
          <w:szCs w:val="32"/>
        </w:rPr>
        <w:t>向：结合我国现行法律法规和国外相关经验做法，</w:t>
      </w:r>
      <w:r>
        <w:rPr>
          <w:rFonts w:ascii="仿宋_GB2312" w:hint="eastAsia"/>
          <w:szCs w:val="32"/>
        </w:rPr>
        <w:lastRenderedPageBreak/>
        <w:t>分析梳理打击处理邪教组织司法实践中存在的问题和不足，就邪教治理法律体系</w:t>
      </w:r>
      <w:r>
        <w:rPr>
          <w:rFonts w:ascii="仿宋_GB2312" w:hAnsi="黑体" w:cs="黑体" w:hint="eastAsia"/>
          <w:szCs w:val="32"/>
        </w:rPr>
        <w:t>完善、新形势下邪教活动法理对策、</w:t>
      </w:r>
      <w:r>
        <w:rPr>
          <w:rFonts w:ascii="仿宋_GB2312" w:hint="eastAsia"/>
          <w:szCs w:val="32"/>
        </w:rPr>
        <w:t>邪教组织认定标准</w:t>
      </w:r>
      <w:r>
        <w:rPr>
          <w:rFonts w:ascii="仿宋_GB2312" w:hAnsi="黑体" w:cs="黑体" w:hint="eastAsia"/>
          <w:szCs w:val="32"/>
        </w:rPr>
        <w:t>等提出意见建议。</w:t>
      </w:r>
    </w:p>
    <w:p w14:paraId="74CB1B49" w14:textId="77777777" w:rsidR="00112B05" w:rsidRDefault="00112B05" w:rsidP="00112B05">
      <w:pPr>
        <w:spacing w:line="570" w:lineRule="exact"/>
        <w:ind w:firstLineChars="200" w:firstLine="640"/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五、新形势下反邪教工作创新发展研究</w:t>
      </w:r>
    </w:p>
    <w:p w14:paraId="2EE2C711" w14:textId="77777777" w:rsidR="00112B05" w:rsidRDefault="00112B05" w:rsidP="00112B05">
      <w:pPr>
        <w:spacing w:line="57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研究方向：结合哲学、法学、历史学、管理学、文学、教育学等学科专业特点，加强学科建设和学科交叉融合，分析反邪教理论研究、人才队伍建设等方面存在的问题和不足，就反邪教工作创新发展提出意见建议。</w:t>
      </w:r>
    </w:p>
    <w:p w14:paraId="15603BF3" w14:textId="77777777" w:rsidR="00112B05" w:rsidRPr="00112B05" w:rsidRDefault="00112B05"/>
    <w:sectPr w:rsidR="00112B05" w:rsidRPr="00112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05"/>
    <w:rsid w:val="0011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4C78AE"/>
  <w15:chartTrackingRefBased/>
  <w15:docId w15:val="{FA0EA620-0C2A-5F4E-A671-45E88F69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B05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2024-03-26T08:24:00Z</dcterms:created>
  <dcterms:modified xsi:type="dcterms:W3CDTF">2024-03-26T08:25:00Z</dcterms:modified>
</cp:coreProperties>
</file>