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35" w:rsidRDefault="000406D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楷体_GB2312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黑体" w:cs="楷体_GB2312" w:hint="eastAsia"/>
          <w:color w:val="000000"/>
          <w:kern w:val="0"/>
          <w:sz w:val="40"/>
          <w:szCs w:val="40"/>
        </w:rPr>
        <w:t>河南省高等学校</w:t>
      </w:r>
      <w:r w:rsidRPr="00F06381">
        <w:rPr>
          <w:rFonts w:ascii="方正小标宋简体" w:eastAsia="方正小标宋简体" w:hAnsi="黑体" w:cs="楷体_GB2312" w:hint="eastAsia"/>
          <w:b/>
          <w:color w:val="000000"/>
          <w:kern w:val="0"/>
          <w:sz w:val="40"/>
          <w:szCs w:val="40"/>
        </w:rPr>
        <w:t>优秀</w:t>
      </w:r>
      <w:r>
        <w:rPr>
          <w:rFonts w:ascii="方正小标宋简体" w:eastAsia="方正小标宋简体" w:hAnsi="黑体" w:cs="楷体_GB2312" w:hint="eastAsia"/>
          <w:color w:val="000000"/>
          <w:kern w:val="0"/>
          <w:sz w:val="40"/>
          <w:szCs w:val="40"/>
        </w:rPr>
        <w:t>基层教学组织认定标准</w:t>
      </w:r>
    </w:p>
    <w:p w:rsidR="004C1935" w:rsidRDefault="000406DB">
      <w:pPr>
        <w:autoSpaceDE w:val="0"/>
        <w:autoSpaceDN w:val="0"/>
        <w:adjustRightInd w:val="0"/>
        <w:jc w:val="center"/>
        <w:rPr>
          <w:rFonts w:ascii="楷体_GB2312" w:eastAsia="楷体_GB2312" w:hAnsi="黑体" w:cs="楷体_GB2312"/>
          <w:color w:val="000000"/>
          <w:kern w:val="0"/>
        </w:rPr>
      </w:pPr>
      <w:r>
        <w:rPr>
          <w:rFonts w:ascii="楷体_GB2312" w:eastAsia="楷体_GB2312" w:hAnsi="黑体" w:cs="楷体_GB2312" w:hint="eastAsia"/>
          <w:color w:val="000000"/>
          <w:kern w:val="0"/>
        </w:rPr>
        <w:t>（试行）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414"/>
      </w:tblGrid>
      <w:tr w:rsidR="004C1935" w:rsidRPr="000406DB">
        <w:trPr>
          <w:trHeight w:val="38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指标内涵</w:t>
            </w:r>
          </w:p>
        </w:tc>
      </w:tr>
      <w:tr w:rsidR="004C1935" w:rsidRPr="000406DB" w:rsidTr="00F06381">
        <w:trPr>
          <w:trHeight w:val="105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管理制度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，发展目标和年度计划明确具体、可操作性强。</w:t>
            </w:r>
          </w:p>
        </w:tc>
      </w:tr>
      <w:tr w:rsidR="004C1935" w:rsidRPr="000406DB" w:rsidTr="00F06381">
        <w:trPr>
          <w:trHeight w:val="182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负责人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具有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高级职称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，教学管理经验丰富，享有额外津贴或减免课时量；团队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规模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原则上30人以下，成员年龄、学历、职称、学</w:t>
            </w:r>
            <w:proofErr w:type="gramStart"/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缘结构</w:t>
            </w:r>
            <w:proofErr w:type="gramEnd"/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合理；教师传帮带机制健全，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新入职教师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均经过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20天以上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系统培训并配有指导教师。高职院校专任教师“双师型”教师比例60%以上。</w:t>
            </w:r>
          </w:p>
        </w:tc>
      </w:tr>
      <w:tr w:rsidR="004C1935" w:rsidRPr="000406DB" w:rsidTr="00F06381">
        <w:trPr>
          <w:trHeight w:val="155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</w:t>
            </w:r>
          </w:p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每学年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教授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为本、专科生上课率100%；</w:t>
            </w:r>
          </w:p>
        </w:tc>
      </w:tr>
      <w:tr w:rsidR="004C1935" w:rsidRPr="000406DB" w:rsidTr="00F06381">
        <w:trPr>
          <w:trHeight w:val="156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课程体系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符合专业发展，有规范的课程建设规划、教学大纲和课程标准，课程内容及时更新，能将最新的学科前沿、产业发展、科研成果融入课堂教学；编写高质量教材和指导用书；建设有校级以上在线开放课程，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信息化教学资源丰富。</w:t>
            </w:r>
          </w:p>
        </w:tc>
      </w:tr>
      <w:tr w:rsidR="004C1935" w:rsidRPr="000406DB" w:rsidTr="00F06381">
        <w:trPr>
          <w:trHeight w:val="14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承担有校级及以上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教改项目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参与教师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占比</w:t>
            </w:r>
            <w:bookmarkStart w:id="0" w:name="_GoBack"/>
            <w:bookmarkEnd w:id="0"/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达到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80%，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获得校级以上教学成果奖；教师人均·学年发表教研论文达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0.3篇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；每2周开展1次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集体教育教学研究活动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；教师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人均</w:t>
            </w:r>
            <w:r w:rsidRPr="003D6ABD">
              <w:rPr>
                <w:rFonts w:ascii="宋体" w:eastAsia="宋体" w:hAnsi="宋体" w:hint="cs"/>
                <w:color w:val="FF0000"/>
                <w:kern w:val="0"/>
                <w:sz w:val="21"/>
                <w:szCs w:val="21"/>
                <w:cs/>
              </w:rPr>
              <w:t>•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学年</w:t>
            </w:r>
            <w:r w:rsidRPr="003D6ABD">
              <w:rPr>
                <w:rFonts w:ascii="宋体" w:eastAsia="宋体" w:hAnsi="宋体"/>
                <w:color w:val="FF0000"/>
                <w:kern w:val="0"/>
                <w:sz w:val="21"/>
                <w:szCs w:val="21"/>
              </w:rPr>
              <w:t>8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次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以上相互听课，每位专任教师每学年参加1次以上校外教学研讨会议。</w:t>
            </w:r>
          </w:p>
        </w:tc>
      </w:tr>
      <w:tr w:rsidR="004C1935" w:rsidRPr="000406DB" w:rsidTr="00F06381">
        <w:trPr>
          <w:trHeight w:val="16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制定或落实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专业建设规划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定期修订完善人才培养方案，达到国家各专业类教学质量标准；建设有省级以上优势特色专业，专业评估位列前50%或通过专业认证；行业企业深度参与专业建设；课程类、实践类等基层教学组织充分发挥在专业评估、专业认证、专业建设中的重要作用。</w:t>
            </w:r>
          </w:p>
        </w:tc>
      </w:tr>
      <w:tr w:rsidR="004C1935" w:rsidRPr="000406DB">
        <w:trPr>
          <w:trHeight w:val="97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科学制定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实践教学方案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，规范设置实践教学环节，高质量开展课内实践教学和校外实习实训，实验实训课程开课率及学生覆盖率高；创新创业教育改革成效显著。</w:t>
            </w:r>
          </w:p>
        </w:tc>
      </w:tr>
      <w:tr w:rsidR="004C1935" w:rsidRPr="000406DB" w:rsidTr="00F06381">
        <w:trPr>
          <w:trHeight w:val="90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设有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专项经费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，教师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人均</w:t>
            </w:r>
            <w:r w:rsidRPr="003D6ABD">
              <w:rPr>
                <w:rFonts w:ascii="宋体" w:eastAsia="宋体" w:hAnsi="宋体" w:hint="cs"/>
                <w:color w:val="0000FF"/>
                <w:kern w:val="0"/>
                <w:sz w:val="21"/>
                <w:szCs w:val="21"/>
                <w:cs/>
              </w:rPr>
              <w:t>•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年度运行经费2000元以上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，有固定的办公场所、教学资料档案室和相关办公设施，人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均教学办公面积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在3平方米以上。</w:t>
            </w:r>
          </w:p>
        </w:tc>
      </w:tr>
      <w:tr w:rsidR="004C1935" w:rsidRPr="000406DB">
        <w:trPr>
          <w:trHeight w:val="92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35" w:rsidRPr="000406DB" w:rsidRDefault="000406DB" w:rsidP="000406DB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教师评教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优秀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在</w:t>
            </w:r>
            <w:r w:rsidRPr="003D6ABD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省级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以上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教师讲课大赛成绩优异，指导学生在创新创业大赛、职业技能大赛、学科专业竞赛等赛项</w:t>
            </w:r>
            <w:r w:rsidRPr="003D6ABD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获得省级以上奖项或公开发表论文</w:t>
            </w:r>
            <w:r w:rsidRPr="000406DB">
              <w:rPr>
                <w:rFonts w:ascii="宋体" w:eastAsia="宋体" w:hAnsi="宋体" w:hint="eastAsia"/>
                <w:kern w:val="0"/>
                <w:sz w:val="21"/>
                <w:szCs w:val="21"/>
              </w:rPr>
              <w:t>；毕业生就业质量高。</w:t>
            </w:r>
          </w:p>
        </w:tc>
      </w:tr>
    </w:tbl>
    <w:p w:rsidR="004C1935" w:rsidRDefault="004C1935"/>
    <w:sectPr w:rsidR="004C1935" w:rsidSect="00F0638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9C" w:rsidRDefault="00D4019C" w:rsidP="003D6ABD">
      <w:r>
        <w:separator/>
      </w:r>
    </w:p>
  </w:endnote>
  <w:endnote w:type="continuationSeparator" w:id="0">
    <w:p w:rsidR="00D4019C" w:rsidRDefault="00D4019C" w:rsidP="003D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9C" w:rsidRDefault="00D4019C" w:rsidP="003D6ABD">
      <w:r>
        <w:separator/>
      </w:r>
    </w:p>
  </w:footnote>
  <w:footnote w:type="continuationSeparator" w:id="0">
    <w:p w:rsidR="00D4019C" w:rsidRDefault="00D4019C" w:rsidP="003D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0091D"/>
    <w:rsid w:val="000406DB"/>
    <w:rsid w:val="003D6ABD"/>
    <w:rsid w:val="004C1935"/>
    <w:rsid w:val="00D4019C"/>
    <w:rsid w:val="00F06381"/>
    <w:rsid w:val="625009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6AB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D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6AB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6AB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D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6AB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尹新富</cp:lastModifiedBy>
  <cp:revision>4</cp:revision>
  <dcterms:created xsi:type="dcterms:W3CDTF">2018-09-17T05:44:00Z</dcterms:created>
  <dcterms:modified xsi:type="dcterms:W3CDTF">2019-09-01T13:09:00Z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