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eastAsia="黑体"/>
          <w:color w:val="000000"/>
          <w:szCs w:val="30"/>
        </w:rPr>
      </w:pPr>
      <w:r>
        <w:rPr>
          <w:rFonts w:ascii="方正小标宋简体" w:eastAsia="方正小标宋简体"/>
          <w:sz w:val="44"/>
          <w:szCs w:val="44"/>
        </w:rPr>
        <w:t>2018</w:t>
      </w:r>
      <w:r>
        <w:rPr>
          <w:rFonts w:hint="eastAsia" w:ascii="方正小标宋简体" w:eastAsia="方正小标宋简体"/>
          <w:sz w:val="44"/>
          <w:szCs w:val="44"/>
        </w:rPr>
        <w:t>年度河南省教育科学规划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重大招标课题指南</w:t>
      </w:r>
    </w:p>
    <w:p>
      <w:pPr>
        <w:ind w:firstLine="616" w:firstLineChars="20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ind w:firstLine="616" w:firstLineChars="20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1.河南教育事业2030年发展目标及推进策略研究</w:t>
      </w:r>
    </w:p>
    <w:p>
      <w:pPr>
        <w:ind w:firstLine="616" w:firstLineChars="20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2.河南教育强省的内涵、标准、实现路径研究</w:t>
      </w:r>
    </w:p>
    <w:p>
      <w:pPr>
        <w:ind w:firstLine="616" w:firstLineChars="20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3.河南省学校安全标准研究</w:t>
      </w:r>
    </w:p>
    <w:p>
      <w:pPr>
        <w:ind w:firstLine="616" w:firstLineChars="20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4.河南省县区教育治理问题研究</w:t>
      </w:r>
    </w:p>
    <w:p>
      <w:pPr>
        <w:ind w:firstLine="616" w:firstLineChars="20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5.河南省数字教材建设标准及应用研究</w:t>
      </w:r>
    </w:p>
    <w:p>
      <w:pPr>
        <w:ind w:firstLine="616" w:firstLineChars="20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6.未来社会发展与学校教育变革问题研究</w:t>
      </w:r>
    </w:p>
    <w:p>
      <w:pPr>
        <w:ind w:firstLine="616" w:firstLineChars="20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7.河南省高等教育放权放管制度设计研究</w:t>
      </w:r>
    </w:p>
    <w:p>
      <w:pPr>
        <w:ind w:firstLine="616" w:firstLineChars="20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8.河南省高校科技成果转化路径研究</w:t>
      </w:r>
    </w:p>
    <w:p>
      <w:pPr>
        <w:ind w:firstLine="616" w:firstLineChars="20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9.社会变迁进程中大学生价值观的发展及影响机制研究</w:t>
      </w:r>
    </w:p>
    <w:p>
      <w:pPr>
        <w:ind w:firstLine="616" w:firstLineChars="20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10.河南省地方高职院校资源配置改革研究</w:t>
      </w:r>
    </w:p>
    <w:p>
      <w:pPr>
        <w:ind w:firstLine="616" w:firstLineChars="20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11.河南省中等职业教育教师队伍建设中长期目标及政策研究</w:t>
      </w:r>
    </w:p>
    <w:p>
      <w:pPr>
        <w:ind w:firstLine="616" w:firstLineChars="20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12.全面建成小康社会视阈下河南农村成人教育质量提升策略研究</w:t>
      </w:r>
    </w:p>
    <w:p>
      <w:pPr>
        <w:ind w:firstLine="616" w:firstLineChars="20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13.河南省全面普及高中阶段教育保障机制及推进策略研究</w:t>
      </w:r>
    </w:p>
    <w:p>
      <w:pPr>
        <w:ind w:firstLine="616" w:firstLineChars="20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14.河南省农村义务教育经费保障机制及绩效管理研究</w:t>
      </w:r>
    </w:p>
    <w:p>
      <w:pPr>
        <w:ind w:firstLine="616" w:firstLineChars="20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15.河南省农村教师结构调整及编制需求问题研究</w:t>
      </w:r>
    </w:p>
    <w:p>
      <w:pPr>
        <w:ind w:firstLine="616" w:firstLineChars="20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16.未来课堂教学的技术规范研究</w:t>
      </w:r>
    </w:p>
    <w:p>
      <w:pPr>
        <w:ind w:firstLine="616" w:firstLineChars="20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17.信息化背景下教育舆情研究</w:t>
      </w:r>
    </w:p>
    <w:p>
      <w:pPr>
        <w:ind w:firstLine="616" w:firstLineChars="20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18.改革开放以来河南教育改革的经验与反思研究</w:t>
      </w:r>
    </w:p>
    <w:p>
      <w:pPr>
        <w:ind w:firstLine="616" w:firstLineChars="20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51DB7"/>
    <w:rsid w:val="08251D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7DD28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2017-05-31T02:51:00Z</dcterms:created>
  <dc:creator>Administrator</dc:creator>
  <cp:lastModifiedBy>Administrator</cp:lastModifiedBy>
  <dcterms:modified xsi:type="dcterms:W3CDTF">2017-05-31T02:52:18Z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